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84" w:rsidRDefault="00DD4DA0" w:rsidP="00DD4DA0">
      <w:pPr>
        <w:jc w:val="center"/>
      </w:pPr>
      <w:bookmarkStart w:id="0" w:name="_GoBack"/>
      <w:bookmarkEnd w:id="0"/>
      <w:r>
        <w:t>Ratio</w:t>
      </w:r>
      <w:r w:rsidR="00DB1A41">
        <w:t xml:space="preserve"> between the Sale of </w:t>
      </w:r>
      <w:r w:rsidR="00BB434B">
        <w:t>O</w:t>
      </w:r>
      <w:r w:rsidR="00DB1A41">
        <w:t xml:space="preserve">ne </w:t>
      </w:r>
      <w:r w:rsidR="00BB434B">
        <w:t>S</w:t>
      </w:r>
      <w:r w:rsidR="00DB1A41">
        <w:t xml:space="preserve">ingle </w:t>
      </w:r>
      <w:r w:rsidR="00BB434B">
        <w:t>F</w:t>
      </w:r>
      <w:r w:rsidR="00DB1A41">
        <w:t xml:space="preserve">amily </w:t>
      </w:r>
      <w:r w:rsidR="00BB434B">
        <w:t>D</w:t>
      </w:r>
      <w:r w:rsidR="00DB1A41">
        <w:t>welling vs</w:t>
      </w:r>
      <w:r w:rsidR="006F1B23">
        <w:t>.Twelve</w:t>
      </w:r>
      <w:r w:rsidR="00DB1A41">
        <w:t xml:space="preserve"> </w:t>
      </w:r>
      <w:r w:rsidR="00BB434B">
        <w:t>S</w:t>
      </w:r>
      <w:r w:rsidR="00DB1A41">
        <w:t xml:space="preserve">ingle </w:t>
      </w:r>
      <w:r w:rsidR="00BB434B">
        <w:t>F</w:t>
      </w:r>
      <w:r w:rsidR="00DB1A41">
        <w:t xml:space="preserve">amily </w:t>
      </w:r>
      <w:r w:rsidR="00BB434B">
        <w:t>D</w:t>
      </w:r>
      <w:r w:rsidR="00DB1A41">
        <w:t xml:space="preserve">wellings </w:t>
      </w:r>
      <w:r w:rsidR="00CE3261">
        <w:t>S</w:t>
      </w:r>
      <w:r w:rsidR="00DB1A41">
        <w:t xml:space="preserve">old to one </w:t>
      </w:r>
      <w:r w:rsidR="00BB434B">
        <w:t>P</w:t>
      </w:r>
      <w:r w:rsidR="00DB1A41">
        <w:t xml:space="preserve">urchaser as a </w:t>
      </w:r>
      <w:r w:rsidR="00BB434B">
        <w:t>P</w:t>
      </w:r>
      <w:r w:rsidR="00DB1A41">
        <w:t>ortfolio</w:t>
      </w:r>
    </w:p>
    <w:p w:rsidR="0055713E" w:rsidRDefault="0055713E" w:rsidP="00DD4DA0">
      <w:pPr>
        <w:jc w:val="center"/>
      </w:pPr>
    </w:p>
    <w:p w:rsidR="00DB1A41" w:rsidRDefault="00DB1A41" w:rsidP="00DD4DA0">
      <w:pPr>
        <w:jc w:val="center"/>
      </w:pPr>
      <w:r>
        <w:t>By Tom J. Keith</w:t>
      </w:r>
      <w:r w:rsidR="00CE3261">
        <w:t>, MAI</w:t>
      </w:r>
      <w:r w:rsidR="00BE311F">
        <w:t xml:space="preserve"> and Paula Mitchell, Associate</w:t>
      </w:r>
    </w:p>
    <w:p w:rsidR="00DB1A41" w:rsidRDefault="00DB1A41" w:rsidP="00DD4DA0">
      <w:pPr>
        <w:jc w:val="center"/>
      </w:pPr>
      <w:r>
        <w:t>May 2016</w:t>
      </w:r>
    </w:p>
    <w:p w:rsidR="00DB1A41" w:rsidRDefault="00DB1A41" w:rsidP="00DD4DA0">
      <w:pPr>
        <w:jc w:val="center"/>
      </w:pPr>
    </w:p>
    <w:p w:rsidR="00DD4DA0" w:rsidRDefault="006F4DE8" w:rsidP="00CE3261">
      <w:pPr>
        <w:ind w:firstLine="720"/>
        <w:jc w:val="both"/>
        <w:rPr>
          <w:sz w:val="24"/>
          <w:szCs w:val="24"/>
        </w:rPr>
      </w:pPr>
      <w:r>
        <w:rPr>
          <w:sz w:val="24"/>
          <w:szCs w:val="24"/>
        </w:rPr>
        <w:t xml:space="preserve">Often, appraisers are asked to appraise a package of several real estate assets that are to be conveyed from one entity to another entity or individual. </w:t>
      </w:r>
      <w:r w:rsidR="00DD4DA0">
        <w:rPr>
          <w:sz w:val="24"/>
          <w:szCs w:val="24"/>
        </w:rPr>
        <w:t xml:space="preserve"> This often occurs in valuation of properties</w:t>
      </w:r>
      <w:r w:rsidR="00DB1A41" w:rsidRPr="0055713E">
        <w:rPr>
          <w:sz w:val="24"/>
          <w:szCs w:val="24"/>
        </w:rPr>
        <w:t>,</w:t>
      </w:r>
      <w:r>
        <w:rPr>
          <w:sz w:val="24"/>
          <w:szCs w:val="24"/>
        </w:rPr>
        <w:t xml:space="preserve"> for estates, </w:t>
      </w:r>
      <w:r w:rsidR="00DD4DA0">
        <w:rPr>
          <w:sz w:val="24"/>
          <w:szCs w:val="24"/>
        </w:rPr>
        <w:t xml:space="preserve">gifts, </w:t>
      </w:r>
      <w:r w:rsidR="00F60AFA">
        <w:rPr>
          <w:sz w:val="24"/>
          <w:szCs w:val="24"/>
        </w:rPr>
        <w:t>and l</w:t>
      </w:r>
      <w:r w:rsidR="00DD4DA0">
        <w:rPr>
          <w:sz w:val="24"/>
          <w:szCs w:val="24"/>
        </w:rPr>
        <w:t>awyers representing clients in divorce</w:t>
      </w:r>
      <w:r>
        <w:rPr>
          <w:sz w:val="24"/>
          <w:szCs w:val="24"/>
        </w:rPr>
        <w:t>.</w:t>
      </w:r>
      <w:r w:rsidR="00DD4DA0">
        <w:rPr>
          <w:sz w:val="24"/>
          <w:szCs w:val="24"/>
        </w:rPr>
        <w:t xml:space="preserve"> Many of these entities will</w:t>
      </w:r>
      <w:r w:rsidR="00DB1A41" w:rsidRPr="0055713E">
        <w:rPr>
          <w:sz w:val="24"/>
          <w:szCs w:val="24"/>
        </w:rPr>
        <w:t xml:space="preserve"> contain multiple </w:t>
      </w:r>
      <w:r>
        <w:rPr>
          <w:sz w:val="24"/>
          <w:szCs w:val="24"/>
        </w:rPr>
        <w:t xml:space="preserve">real estate assets such as a group of </w:t>
      </w:r>
      <w:r w:rsidR="00DB1A41" w:rsidRPr="0055713E">
        <w:rPr>
          <w:sz w:val="24"/>
          <w:szCs w:val="24"/>
        </w:rPr>
        <w:t>single family</w:t>
      </w:r>
      <w:r>
        <w:rPr>
          <w:sz w:val="24"/>
          <w:szCs w:val="24"/>
        </w:rPr>
        <w:t xml:space="preserve">, commercial buildings, tracts of land, or other types of real estate. </w:t>
      </w:r>
      <w:r w:rsidR="00292E0C" w:rsidRPr="0055713E">
        <w:rPr>
          <w:sz w:val="24"/>
          <w:szCs w:val="24"/>
        </w:rPr>
        <w:t xml:space="preserve"> </w:t>
      </w:r>
    </w:p>
    <w:p w:rsidR="00DD4DA0" w:rsidRDefault="00DD4DA0" w:rsidP="00CE3261">
      <w:pPr>
        <w:ind w:firstLine="720"/>
        <w:jc w:val="both"/>
        <w:rPr>
          <w:sz w:val="24"/>
          <w:szCs w:val="24"/>
        </w:rPr>
      </w:pPr>
    </w:p>
    <w:p w:rsidR="00DD4DA0" w:rsidRDefault="008371DF" w:rsidP="00CE3261">
      <w:pPr>
        <w:ind w:firstLine="720"/>
        <w:jc w:val="both"/>
        <w:rPr>
          <w:sz w:val="24"/>
          <w:szCs w:val="24"/>
        </w:rPr>
      </w:pPr>
      <w:r>
        <w:rPr>
          <w:sz w:val="24"/>
          <w:szCs w:val="24"/>
        </w:rPr>
        <w:t>Normally</w:t>
      </w:r>
      <w:r w:rsidR="0084095F">
        <w:rPr>
          <w:sz w:val="24"/>
          <w:szCs w:val="24"/>
        </w:rPr>
        <w:t>,</w:t>
      </w:r>
      <w:r>
        <w:rPr>
          <w:sz w:val="24"/>
          <w:szCs w:val="24"/>
        </w:rPr>
        <w:t xml:space="preserve"> the buyer and seller of a portfolio of properties expect a discount when purchasing a group of properties. This paper is about how to </w:t>
      </w:r>
      <w:r w:rsidR="006F4DE8">
        <w:rPr>
          <w:sz w:val="24"/>
          <w:szCs w:val="24"/>
        </w:rPr>
        <w:t xml:space="preserve">quantify the amount of  </w:t>
      </w:r>
      <w:r>
        <w:rPr>
          <w:sz w:val="24"/>
          <w:szCs w:val="24"/>
        </w:rPr>
        <w:t>discount and the actual calculation of the discount</w:t>
      </w:r>
      <w:r w:rsidR="00C961FE">
        <w:rPr>
          <w:sz w:val="24"/>
          <w:szCs w:val="24"/>
        </w:rPr>
        <w:t xml:space="preserve"> for</w:t>
      </w:r>
      <w:r w:rsidR="00F60AFA">
        <w:rPr>
          <w:sz w:val="24"/>
          <w:szCs w:val="24"/>
        </w:rPr>
        <w:t xml:space="preserve"> multiple p</w:t>
      </w:r>
      <w:r w:rsidR="00C961FE">
        <w:rPr>
          <w:sz w:val="24"/>
          <w:szCs w:val="24"/>
        </w:rPr>
        <w:t>roperties</w:t>
      </w:r>
      <w:r w:rsidR="00F60AFA">
        <w:rPr>
          <w:sz w:val="24"/>
          <w:szCs w:val="24"/>
        </w:rPr>
        <w:t xml:space="preserve"> on scattered lots</w:t>
      </w:r>
      <w:r>
        <w:rPr>
          <w:sz w:val="24"/>
          <w:szCs w:val="24"/>
        </w:rPr>
        <w:t>.</w:t>
      </w:r>
      <w:r w:rsidR="00C961FE">
        <w:rPr>
          <w:sz w:val="24"/>
          <w:szCs w:val="24"/>
        </w:rPr>
        <w:t xml:space="preserve"> </w:t>
      </w:r>
      <w:r>
        <w:rPr>
          <w:sz w:val="24"/>
          <w:szCs w:val="24"/>
        </w:rPr>
        <w:t xml:space="preserve">  </w:t>
      </w:r>
    </w:p>
    <w:p w:rsidR="00DD4DA0" w:rsidRDefault="00DD4DA0" w:rsidP="00CE3261">
      <w:pPr>
        <w:ind w:firstLine="720"/>
        <w:jc w:val="both"/>
        <w:rPr>
          <w:sz w:val="24"/>
          <w:szCs w:val="24"/>
        </w:rPr>
      </w:pPr>
    </w:p>
    <w:p w:rsidR="00292E0C" w:rsidRPr="0055713E" w:rsidRDefault="00DB1A41" w:rsidP="00CE3261">
      <w:pPr>
        <w:ind w:firstLine="720"/>
        <w:jc w:val="both"/>
        <w:rPr>
          <w:sz w:val="24"/>
          <w:szCs w:val="24"/>
        </w:rPr>
      </w:pPr>
      <w:r w:rsidRPr="0055713E">
        <w:rPr>
          <w:sz w:val="24"/>
          <w:szCs w:val="24"/>
        </w:rPr>
        <w:t>In cases where a package of vacant</w:t>
      </w:r>
      <w:r w:rsidR="00292E0C" w:rsidRPr="0055713E">
        <w:rPr>
          <w:sz w:val="24"/>
          <w:szCs w:val="24"/>
        </w:rPr>
        <w:t xml:space="preserve"> </w:t>
      </w:r>
      <w:r w:rsidRPr="0055713E">
        <w:rPr>
          <w:sz w:val="24"/>
          <w:szCs w:val="24"/>
        </w:rPr>
        <w:t>lots</w:t>
      </w:r>
      <w:r w:rsidR="008371DF">
        <w:rPr>
          <w:sz w:val="24"/>
          <w:szCs w:val="24"/>
        </w:rPr>
        <w:t xml:space="preserve"> in one development</w:t>
      </w:r>
      <w:r w:rsidRPr="0055713E">
        <w:rPr>
          <w:sz w:val="24"/>
          <w:szCs w:val="24"/>
        </w:rPr>
        <w:t xml:space="preserve"> need to be valued, the absorption rate can be determined and a </w:t>
      </w:r>
      <w:r w:rsidR="00CE3261">
        <w:rPr>
          <w:sz w:val="24"/>
          <w:szCs w:val="24"/>
        </w:rPr>
        <w:t>d</w:t>
      </w:r>
      <w:r w:rsidRPr="0055713E">
        <w:rPr>
          <w:sz w:val="24"/>
          <w:szCs w:val="24"/>
        </w:rPr>
        <w:t xml:space="preserve">iscounted cash flow </w:t>
      </w:r>
      <w:r w:rsidR="008371DF">
        <w:rPr>
          <w:sz w:val="24"/>
          <w:szCs w:val="24"/>
        </w:rPr>
        <w:t>employed to determine the value or</w:t>
      </w:r>
      <w:r w:rsidRPr="0055713E">
        <w:rPr>
          <w:sz w:val="24"/>
          <w:szCs w:val="24"/>
        </w:rPr>
        <w:t xml:space="preserve"> the “wholesale value” of a group of or package of lots</w:t>
      </w:r>
      <w:r w:rsidR="00292E0C" w:rsidRPr="0055713E">
        <w:rPr>
          <w:sz w:val="24"/>
          <w:szCs w:val="24"/>
        </w:rPr>
        <w:t xml:space="preserve">. This procedure is widely used in the valuation </w:t>
      </w:r>
      <w:r w:rsidR="008371DF">
        <w:rPr>
          <w:sz w:val="24"/>
          <w:szCs w:val="24"/>
        </w:rPr>
        <w:t xml:space="preserve">of subdivisions or </w:t>
      </w:r>
      <w:r w:rsidR="00292E0C" w:rsidRPr="0055713E">
        <w:rPr>
          <w:sz w:val="24"/>
          <w:szCs w:val="24"/>
        </w:rPr>
        <w:t>multiple properties where the absorption rate can be determined</w:t>
      </w:r>
      <w:r w:rsidR="008371DF">
        <w:rPr>
          <w:sz w:val="24"/>
          <w:szCs w:val="24"/>
        </w:rPr>
        <w:t xml:space="preserve"> from nearby developments</w:t>
      </w:r>
      <w:r w:rsidR="00292E0C" w:rsidRPr="0055713E">
        <w:rPr>
          <w:sz w:val="24"/>
          <w:szCs w:val="24"/>
        </w:rPr>
        <w:t>.</w:t>
      </w:r>
      <w:r w:rsidR="0084095F">
        <w:rPr>
          <w:sz w:val="24"/>
          <w:szCs w:val="24"/>
        </w:rPr>
        <w:t xml:space="preserve"> This is </w:t>
      </w:r>
      <w:r w:rsidR="00F60AFA">
        <w:rPr>
          <w:sz w:val="24"/>
          <w:szCs w:val="24"/>
        </w:rPr>
        <w:t xml:space="preserve">a </w:t>
      </w:r>
      <w:r w:rsidR="0084095F">
        <w:rPr>
          <w:sz w:val="24"/>
          <w:szCs w:val="24"/>
        </w:rPr>
        <w:t xml:space="preserve">federally mandated method when valuing 5 or more properties for federally chartered lenders. </w:t>
      </w:r>
      <w:r w:rsidR="00292E0C" w:rsidRPr="0055713E">
        <w:rPr>
          <w:sz w:val="24"/>
          <w:szCs w:val="24"/>
        </w:rPr>
        <w:t xml:space="preserve"> However, it is not as easy to determine the absorption rate of </w:t>
      </w:r>
      <w:r w:rsidR="008371DF">
        <w:rPr>
          <w:sz w:val="24"/>
          <w:szCs w:val="24"/>
        </w:rPr>
        <w:t xml:space="preserve">a package of scattered </w:t>
      </w:r>
      <w:r w:rsidR="00292E0C" w:rsidRPr="0055713E">
        <w:rPr>
          <w:sz w:val="24"/>
          <w:szCs w:val="24"/>
        </w:rPr>
        <w:t>single family dwellings</w:t>
      </w:r>
      <w:r w:rsidR="008371DF">
        <w:rPr>
          <w:sz w:val="24"/>
          <w:szCs w:val="24"/>
        </w:rPr>
        <w:t xml:space="preserve"> or for that matter scattered single family vacant lots. The </w:t>
      </w:r>
      <w:r w:rsidR="00292E0C" w:rsidRPr="0055713E">
        <w:rPr>
          <w:sz w:val="24"/>
          <w:szCs w:val="24"/>
        </w:rPr>
        <w:t>price usuall</w:t>
      </w:r>
      <w:r w:rsidR="008371DF">
        <w:rPr>
          <w:sz w:val="24"/>
          <w:szCs w:val="24"/>
        </w:rPr>
        <w:t>y dictates the absorption rate</w:t>
      </w:r>
      <w:r w:rsidR="0084095F">
        <w:rPr>
          <w:sz w:val="24"/>
          <w:szCs w:val="24"/>
        </w:rPr>
        <w:t xml:space="preserve"> and the strength of the market can dictate the price</w:t>
      </w:r>
      <w:r w:rsidR="008371DF">
        <w:rPr>
          <w:sz w:val="24"/>
          <w:szCs w:val="24"/>
        </w:rPr>
        <w:t>. If a property is priced low</w:t>
      </w:r>
      <w:r w:rsidR="00F60AFA">
        <w:rPr>
          <w:sz w:val="24"/>
          <w:szCs w:val="24"/>
        </w:rPr>
        <w:t xml:space="preserve"> enough, it may sell in one day. H</w:t>
      </w:r>
      <w:r w:rsidR="008371DF">
        <w:rPr>
          <w:sz w:val="24"/>
          <w:szCs w:val="24"/>
        </w:rPr>
        <w:t xml:space="preserve">owever, if the price is at a normal level </w:t>
      </w:r>
      <w:r w:rsidR="00F60AFA">
        <w:rPr>
          <w:sz w:val="24"/>
          <w:szCs w:val="24"/>
        </w:rPr>
        <w:t>and has a marketing time of</w:t>
      </w:r>
      <w:r w:rsidR="008371DF">
        <w:rPr>
          <w:sz w:val="24"/>
          <w:szCs w:val="24"/>
        </w:rPr>
        <w:t xml:space="preserve"> 90 to 120 days for</w:t>
      </w:r>
      <w:r w:rsidR="00C961FE">
        <w:rPr>
          <w:sz w:val="24"/>
          <w:szCs w:val="24"/>
        </w:rPr>
        <w:t xml:space="preserve"> a dwelling or lot, it may be a realistic time for a dwelling but</w:t>
      </w:r>
      <w:r w:rsidR="0084095F">
        <w:rPr>
          <w:sz w:val="24"/>
          <w:szCs w:val="24"/>
        </w:rPr>
        <w:t xml:space="preserve"> vacant lots </w:t>
      </w:r>
      <w:r w:rsidR="00C961FE">
        <w:rPr>
          <w:sz w:val="24"/>
          <w:szCs w:val="24"/>
        </w:rPr>
        <w:t>may take several years to sell</w:t>
      </w:r>
      <w:r w:rsidR="0084095F">
        <w:rPr>
          <w:sz w:val="24"/>
          <w:szCs w:val="24"/>
        </w:rPr>
        <w:t xml:space="preserve"> particularly if for </w:t>
      </w:r>
      <w:r w:rsidR="00C961FE">
        <w:rPr>
          <w:sz w:val="24"/>
          <w:szCs w:val="24"/>
        </w:rPr>
        <w:t xml:space="preserve">a random vacant lot in a neighborhood. I have seen vacant lots stay on the market for several years before a buyer is secured. Realtors are often heard telling their prospective listing client that “the sign will rot down before this vacant lot is sold.” </w:t>
      </w:r>
    </w:p>
    <w:p w:rsidR="00292E0C" w:rsidRPr="0055713E" w:rsidRDefault="00292E0C" w:rsidP="00CE3261">
      <w:pPr>
        <w:rPr>
          <w:sz w:val="24"/>
          <w:szCs w:val="24"/>
        </w:rPr>
      </w:pPr>
    </w:p>
    <w:p w:rsidR="00DB1A41" w:rsidRPr="0055713E" w:rsidRDefault="00292E0C" w:rsidP="00292E0C">
      <w:pPr>
        <w:jc w:val="both"/>
        <w:rPr>
          <w:sz w:val="24"/>
          <w:szCs w:val="24"/>
        </w:rPr>
      </w:pPr>
      <w:r w:rsidRPr="0055713E">
        <w:rPr>
          <w:sz w:val="24"/>
          <w:szCs w:val="24"/>
        </w:rPr>
        <w:t xml:space="preserve"> </w:t>
      </w:r>
      <w:r w:rsidRPr="0055713E">
        <w:rPr>
          <w:sz w:val="24"/>
          <w:szCs w:val="24"/>
        </w:rPr>
        <w:tab/>
        <w:t xml:space="preserve">In the case of </w:t>
      </w:r>
      <w:r w:rsidR="00F60AFA">
        <w:rPr>
          <w:sz w:val="24"/>
          <w:szCs w:val="24"/>
        </w:rPr>
        <w:t xml:space="preserve">scattered </w:t>
      </w:r>
      <w:r w:rsidRPr="0055713E">
        <w:rPr>
          <w:sz w:val="24"/>
          <w:szCs w:val="24"/>
        </w:rPr>
        <w:t xml:space="preserve">multiple single family dwellings which must be sold within </w:t>
      </w:r>
      <w:r w:rsidR="004E5FD9" w:rsidRPr="0055713E">
        <w:rPr>
          <w:sz w:val="24"/>
          <w:szCs w:val="24"/>
        </w:rPr>
        <w:t>1</w:t>
      </w:r>
      <w:r w:rsidRPr="0055713E">
        <w:rPr>
          <w:sz w:val="24"/>
          <w:szCs w:val="24"/>
        </w:rPr>
        <w:t xml:space="preserve"> years’ marketing time, it is difficult to determine the absorption rate. In cases where the single family dwellings are new and are located in the same development, it would be much easier to determine the absorption rate. </w:t>
      </w:r>
      <w:r w:rsidRPr="00F60AFA">
        <w:rPr>
          <w:b/>
          <w:sz w:val="24"/>
          <w:szCs w:val="24"/>
        </w:rPr>
        <w:t>This study addresses the issue of determining how much the value</w:t>
      </w:r>
      <w:r w:rsidR="00C961FE" w:rsidRPr="00F60AFA">
        <w:rPr>
          <w:b/>
          <w:sz w:val="24"/>
          <w:szCs w:val="24"/>
        </w:rPr>
        <w:t xml:space="preserve"> of a single unit in a package </w:t>
      </w:r>
      <w:r w:rsidRPr="00F60AFA">
        <w:rPr>
          <w:b/>
          <w:sz w:val="24"/>
          <w:szCs w:val="24"/>
        </w:rPr>
        <w:t>changes when the investor purchases a package or portfolio of multiple single family dwellings scattered throughout a market area.</w:t>
      </w:r>
      <w:r w:rsidRPr="0055713E">
        <w:rPr>
          <w:sz w:val="24"/>
          <w:szCs w:val="24"/>
        </w:rPr>
        <w:t xml:space="preserve">  Of course, if the price is low enough the marketing time </w:t>
      </w:r>
      <w:r w:rsidR="004E5FD9" w:rsidRPr="0055713E">
        <w:rPr>
          <w:sz w:val="24"/>
          <w:szCs w:val="24"/>
        </w:rPr>
        <w:t xml:space="preserve">could be </w:t>
      </w:r>
      <w:r w:rsidR="00F530D0">
        <w:rPr>
          <w:sz w:val="24"/>
          <w:szCs w:val="24"/>
        </w:rPr>
        <w:t>one</w:t>
      </w:r>
      <w:r w:rsidR="004E5FD9" w:rsidRPr="0055713E">
        <w:rPr>
          <w:sz w:val="24"/>
          <w:szCs w:val="24"/>
        </w:rPr>
        <w:t xml:space="preserve"> day, however if the price of the entire portfolio is the summation of the retail prices of all of the dwellings, then the marketing time could be 10 years or as long as it takes to sell each individual single family </w:t>
      </w:r>
      <w:r w:rsidR="00F530D0">
        <w:rPr>
          <w:sz w:val="24"/>
          <w:szCs w:val="24"/>
        </w:rPr>
        <w:t xml:space="preserve">dwelling </w:t>
      </w:r>
      <w:r w:rsidR="004E5FD9" w:rsidRPr="0055713E">
        <w:rPr>
          <w:sz w:val="24"/>
          <w:szCs w:val="24"/>
        </w:rPr>
        <w:t xml:space="preserve">at its full retail price. The question then becomes how much should the value be reduced in order to sell all of the units within </w:t>
      </w:r>
      <w:r w:rsidR="00F530D0">
        <w:rPr>
          <w:sz w:val="24"/>
          <w:szCs w:val="24"/>
        </w:rPr>
        <w:t>one</w:t>
      </w:r>
      <w:r w:rsidR="004E5FD9" w:rsidRPr="0055713E">
        <w:rPr>
          <w:sz w:val="24"/>
          <w:szCs w:val="24"/>
        </w:rPr>
        <w:t xml:space="preserve"> years’ time, which has been determined in many court cases as the reasonable marketing time for properties in an estate. The study of these cases is a lengthy discussion on its own.  That would not be covered in this particular study since our objective is to determine the price at which all of these dwellings in a package or portfolio could be sold within </w:t>
      </w:r>
      <w:r w:rsidR="00F530D0">
        <w:rPr>
          <w:sz w:val="24"/>
          <w:szCs w:val="24"/>
        </w:rPr>
        <w:t>one</w:t>
      </w:r>
      <w:r w:rsidR="004E5FD9" w:rsidRPr="0055713E">
        <w:rPr>
          <w:sz w:val="24"/>
          <w:szCs w:val="24"/>
        </w:rPr>
        <w:t xml:space="preserve"> years’ marketing time. </w:t>
      </w:r>
    </w:p>
    <w:p w:rsidR="0055713E" w:rsidRPr="0055713E" w:rsidRDefault="0055713E" w:rsidP="00292E0C">
      <w:pPr>
        <w:jc w:val="both"/>
        <w:rPr>
          <w:sz w:val="24"/>
          <w:szCs w:val="24"/>
        </w:rPr>
      </w:pPr>
    </w:p>
    <w:p w:rsidR="003A25F1" w:rsidRPr="0055713E" w:rsidRDefault="004E5FD9" w:rsidP="00292E0C">
      <w:pPr>
        <w:jc w:val="both"/>
        <w:rPr>
          <w:sz w:val="24"/>
          <w:szCs w:val="24"/>
        </w:rPr>
      </w:pPr>
      <w:r w:rsidRPr="0055713E">
        <w:rPr>
          <w:sz w:val="24"/>
          <w:szCs w:val="24"/>
        </w:rPr>
        <w:lastRenderedPageBreak/>
        <w:tab/>
        <w:t xml:space="preserve">We are stating in this study that the marketing time of a portfolio may be </w:t>
      </w:r>
      <w:r w:rsidR="00F530D0">
        <w:rPr>
          <w:sz w:val="24"/>
          <w:szCs w:val="24"/>
        </w:rPr>
        <w:t>one</w:t>
      </w:r>
      <w:r w:rsidRPr="0055713E">
        <w:rPr>
          <w:sz w:val="24"/>
          <w:szCs w:val="24"/>
        </w:rPr>
        <w:t xml:space="preserve"> year however the marketing time of one single family dwelling may be 90 to 120 days. In other words,</w:t>
      </w:r>
      <w:r w:rsidR="00F530D0">
        <w:rPr>
          <w:sz w:val="24"/>
          <w:szCs w:val="24"/>
        </w:rPr>
        <w:t xml:space="preserve"> </w:t>
      </w:r>
      <w:r w:rsidRPr="0055713E">
        <w:rPr>
          <w:sz w:val="24"/>
          <w:szCs w:val="24"/>
        </w:rPr>
        <w:t>sho</w:t>
      </w:r>
      <w:r w:rsidR="00F60AFA">
        <w:rPr>
          <w:sz w:val="24"/>
          <w:szCs w:val="24"/>
        </w:rPr>
        <w:t>uld the price of a package of multiple</w:t>
      </w:r>
      <w:r w:rsidRPr="0055713E">
        <w:rPr>
          <w:sz w:val="24"/>
          <w:szCs w:val="24"/>
        </w:rPr>
        <w:t xml:space="preserve"> dwellings sold to one investor </w:t>
      </w:r>
      <w:r w:rsidR="004A4A52" w:rsidRPr="0055713E">
        <w:rPr>
          <w:sz w:val="24"/>
          <w:szCs w:val="24"/>
        </w:rPr>
        <w:t>in one transaction be reduced in price in order for these properties to be sold</w:t>
      </w:r>
      <w:r w:rsidR="003A25F1" w:rsidRPr="0055713E">
        <w:rPr>
          <w:sz w:val="24"/>
          <w:szCs w:val="24"/>
        </w:rPr>
        <w:t xml:space="preserve"> to one purchaser within a 12 months</w:t>
      </w:r>
      <w:r w:rsidR="00F530D0">
        <w:rPr>
          <w:sz w:val="24"/>
          <w:szCs w:val="24"/>
        </w:rPr>
        <w:t>’</w:t>
      </w:r>
      <w:r w:rsidR="003A25F1" w:rsidRPr="0055713E">
        <w:rPr>
          <w:sz w:val="24"/>
          <w:szCs w:val="24"/>
        </w:rPr>
        <w:t xml:space="preserve"> marketing time?  </w:t>
      </w:r>
    </w:p>
    <w:p w:rsidR="003A25F1" w:rsidRPr="0055713E" w:rsidRDefault="003A25F1" w:rsidP="00292E0C">
      <w:pPr>
        <w:jc w:val="both"/>
        <w:rPr>
          <w:sz w:val="24"/>
          <w:szCs w:val="24"/>
        </w:rPr>
      </w:pPr>
    </w:p>
    <w:p w:rsidR="00F879A2" w:rsidRPr="0055713E" w:rsidRDefault="003A25F1" w:rsidP="00292E0C">
      <w:pPr>
        <w:jc w:val="both"/>
        <w:rPr>
          <w:sz w:val="24"/>
          <w:szCs w:val="24"/>
        </w:rPr>
      </w:pPr>
      <w:r w:rsidRPr="0055713E">
        <w:rPr>
          <w:sz w:val="24"/>
          <w:szCs w:val="24"/>
        </w:rPr>
        <w:tab/>
        <w:t>In this particular study a group of 12 single family dwellings were sold to one investor in Lumberton, N</w:t>
      </w:r>
      <w:r w:rsidR="00F530D0">
        <w:rPr>
          <w:sz w:val="24"/>
          <w:szCs w:val="24"/>
        </w:rPr>
        <w:t>.</w:t>
      </w:r>
      <w:r w:rsidRPr="0055713E">
        <w:rPr>
          <w:sz w:val="24"/>
          <w:szCs w:val="24"/>
        </w:rPr>
        <w:t>C</w:t>
      </w:r>
      <w:r w:rsidR="00F530D0">
        <w:rPr>
          <w:sz w:val="24"/>
          <w:szCs w:val="24"/>
        </w:rPr>
        <w:t>.</w:t>
      </w:r>
      <w:r w:rsidRPr="0055713E">
        <w:rPr>
          <w:sz w:val="24"/>
          <w:szCs w:val="24"/>
        </w:rPr>
        <w:t xml:space="preserve"> at a price of $269,000 on August 21, 2015. This transaction is recorded in Deed Book D2006, Page 153-161. The property was sold</w:t>
      </w:r>
      <w:r w:rsidR="00BF028C" w:rsidRPr="0055713E">
        <w:rPr>
          <w:sz w:val="24"/>
          <w:szCs w:val="24"/>
        </w:rPr>
        <w:t xml:space="preserve"> from Cecil Conley and wife ,Naomi L. Conley, of Ft Myers, Florida to</w:t>
      </w:r>
      <w:r w:rsidRPr="0055713E">
        <w:rPr>
          <w:sz w:val="24"/>
          <w:szCs w:val="24"/>
        </w:rPr>
        <w:t xml:space="preserve">  </w:t>
      </w:r>
      <w:r w:rsidR="00BF028C" w:rsidRPr="0055713E">
        <w:rPr>
          <w:sz w:val="24"/>
          <w:szCs w:val="24"/>
        </w:rPr>
        <w:t>SANDLUG’S LLC of 3910 Kings Cross Road, Lumberton N</w:t>
      </w:r>
      <w:r w:rsidR="00F530D0">
        <w:rPr>
          <w:sz w:val="24"/>
          <w:szCs w:val="24"/>
        </w:rPr>
        <w:t>.</w:t>
      </w:r>
      <w:r w:rsidR="00BF028C" w:rsidRPr="0055713E">
        <w:rPr>
          <w:sz w:val="24"/>
          <w:szCs w:val="24"/>
        </w:rPr>
        <w:t>C</w:t>
      </w:r>
      <w:r w:rsidR="00F530D0">
        <w:rPr>
          <w:sz w:val="24"/>
          <w:szCs w:val="24"/>
        </w:rPr>
        <w:t>.</w:t>
      </w:r>
      <w:r w:rsidR="00BF028C" w:rsidRPr="0055713E">
        <w:rPr>
          <w:sz w:val="24"/>
          <w:szCs w:val="24"/>
        </w:rPr>
        <w:t xml:space="preserve"> 28360. </w:t>
      </w:r>
      <w:r w:rsidR="00F530D0">
        <w:rPr>
          <w:sz w:val="24"/>
          <w:szCs w:val="24"/>
        </w:rPr>
        <w:t>In t</w:t>
      </w:r>
      <w:r w:rsidR="00BF028C" w:rsidRPr="0055713E">
        <w:rPr>
          <w:sz w:val="24"/>
          <w:szCs w:val="24"/>
        </w:rPr>
        <w:t>his portfolio of 12 single family dwellings</w:t>
      </w:r>
      <w:r w:rsidR="004A4A52" w:rsidRPr="0055713E">
        <w:rPr>
          <w:sz w:val="24"/>
          <w:szCs w:val="24"/>
        </w:rPr>
        <w:t xml:space="preserve"> </w:t>
      </w:r>
      <w:r w:rsidR="00BF028C" w:rsidRPr="0055713E">
        <w:rPr>
          <w:sz w:val="24"/>
          <w:szCs w:val="24"/>
        </w:rPr>
        <w:t>scattered throughout the city of Lumbert</w:t>
      </w:r>
      <w:r w:rsidR="00F60AFA">
        <w:rPr>
          <w:sz w:val="24"/>
          <w:szCs w:val="24"/>
        </w:rPr>
        <w:t>on at a tax value of $406,200</w:t>
      </w:r>
      <w:r w:rsidR="00BF028C" w:rsidRPr="0055713E">
        <w:rPr>
          <w:sz w:val="24"/>
          <w:szCs w:val="24"/>
        </w:rPr>
        <w:t xml:space="preserve"> and based on an appraisal by Tom J. Keith &amp; Associates, Associate Paula Mitchell appraised each dwelling</w:t>
      </w:r>
      <w:r w:rsidR="004E5FD9" w:rsidRPr="0055713E">
        <w:rPr>
          <w:sz w:val="24"/>
          <w:szCs w:val="24"/>
        </w:rPr>
        <w:t xml:space="preserve"> </w:t>
      </w:r>
      <w:r w:rsidR="00C961FE">
        <w:rPr>
          <w:sz w:val="24"/>
          <w:szCs w:val="24"/>
        </w:rPr>
        <w:t xml:space="preserve">for a total sum </w:t>
      </w:r>
      <w:r w:rsidR="00BF028C" w:rsidRPr="0055713E">
        <w:rPr>
          <w:sz w:val="24"/>
          <w:szCs w:val="24"/>
        </w:rPr>
        <w:t>of $4</w:t>
      </w:r>
      <w:r w:rsidR="00F60AFA">
        <w:rPr>
          <w:sz w:val="24"/>
          <w:szCs w:val="24"/>
        </w:rPr>
        <w:t>93,670</w:t>
      </w:r>
      <w:r w:rsidR="00C928F0">
        <w:rPr>
          <w:sz w:val="24"/>
          <w:szCs w:val="24"/>
        </w:rPr>
        <w:t xml:space="preserve"> (average of $41,139 each).</w:t>
      </w:r>
      <w:r w:rsidR="00F60AFA">
        <w:rPr>
          <w:sz w:val="24"/>
          <w:szCs w:val="24"/>
        </w:rPr>
        <w:t xml:space="preserve">  The price of $269,000</w:t>
      </w:r>
      <w:r w:rsidR="00C928F0">
        <w:rPr>
          <w:sz w:val="24"/>
          <w:szCs w:val="24"/>
        </w:rPr>
        <w:t xml:space="preserve"> (Average $22,417 each)</w:t>
      </w:r>
      <w:r w:rsidR="00BF028C" w:rsidRPr="0055713E">
        <w:rPr>
          <w:sz w:val="24"/>
          <w:szCs w:val="24"/>
        </w:rPr>
        <w:t xml:space="preserve"> is considered to be market value</w:t>
      </w:r>
      <w:r w:rsidR="00C928F0">
        <w:rPr>
          <w:sz w:val="24"/>
          <w:szCs w:val="24"/>
        </w:rPr>
        <w:t xml:space="preserve"> for the package</w:t>
      </w:r>
      <w:r w:rsidR="00BF028C" w:rsidRPr="0055713E">
        <w:rPr>
          <w:sz w:val="24"/>
          <w:szCs w:val="24"/>
        </w:rPr>
        <w:t xml:space="preserve"> and therefore, this property sold for 54.5% of its appraised value</w:t>
      </w:r>
      <w:r w:rsidR="00A37496" w:rsidRPr="0055713E">
        <w:rPr>
          <w:sz w:val="24"/>
          <w:szCs w:val="24"/>
        </w:rPr>
        <w:t>, or rounded to 54%</w:t>
      </w:r>
      <w:r w:rsidR="00BF028C" w:rsidRPr="0055713E">
        <w:rPr>
          <w:sz w:val="24"/>
          <w:szCs w:val="24"/>
        </w:rPr>
        <w:t>.</w:t>
      </w:r>
      <w:r w:rsidR="00A37496" w:rsidRPr="0055713E">
        <w:rPr>
          <w:sz w:val="24"/>
          <w:szCs w:val="24"/>
        </w:rPr>
        <w:t xml:space="preserve"> This represents a 46%</w:t>
      </w:r>
      <w:r w:rsidR="00C928F0">
        <w:rPr>
          <w:sz w:val="24"/>
          <w:szCs w:val="24"/>
        </w:rPr>
        <w:t xml:space="preserve"> discount from the </w:t>
      </w:r>
      <w:r w:rsidR="00F60AFA">
        <w:rPr>
          <w:sz w:val="24"/>
          <w:szCs w:val="24"/>
        </w:rPr>
        <w:t xml:space="preserve">summation of the </w:t>
      </w:r>
      <w:r w:rsidR="00C928F0">
        <w:rPr>
          <w:sz w:val="24"/>
          <w:szCs w:val="24"/>
        </w:rPr>
        <w:t xml:space="preserve">retail price of </w:t>
      </w:r>
      <w:r w:rsidR="00A37496" w:rsidRPr="0055713E">
        <w:rPr>
          <w:sz w:val="24"/>
          <w:szCs w:val="24"/>
        </w:rPr>
        <w:t>each of the single family dwellings</w:t>
      </w:r>
      <w:r w:rsidR="00C928F0">
        <w:rPr>
          <w:sz w:val="24"/>
          <w:szCs w:val="24"/>
        </w:rPr>
        <w:t xml:space="preserve">. </w:t>
      </w:r>
      <w:r w:rsidR="00A37496" w:rsidRPr="0055713E">
        <w:rPr>
          <w:sz w:val="24"/>
          <w:szCs w:val="24"/>
        </w:rPr>
        <w:t>Typical market conditions at the time of sale would most likely have an influence</w:t>
      </w:r>
      <w:r w:rsidR="00BF028C" w:rsidRPr="0055713E">
        <w:rPr>
          <w:sz w:val="24"/>
          <w:szCs w:val="24"/>
        </w:rPr>
        <w:t xml:space="preserve"> </w:t>
      </w:r>
      <w:r w:rsidR="00A37496" w:rsidRPr="0055713E">
        <w:rPr>
          <w:sz w:val="24"/>
          <w:szCs w:val="24"/>
        </w:rPr>
        <w:t>on this discount due to the fact that in a very strong market the individual dwellings could be sold one at a time over a period of possibl</w:t>
      </w:r>
      <w:r w:rsidR="00897212">
        <w:rPr>
          <w:sz w:val="24"/>
          <w:szCs w:val="24"/>
        </w:rPr>
        <w:t>y</w:t>
      </w:r>
      <w:r w:rsidR="00A37496" w:rsidRPr="0055713E">
        <w:rPr>
          <w:sz w:val="24"/>
          <w:szCs w:val="24"/>
        </w:rPr>
        <w:t xml:space="preserve"> one year; however, in a weak market it may take several years </w:t>
      </w:r>
      <w:r w:rsidR="00F60AFA">
        <w:rPr>
          <w:sz w:val="24"/>
          <w:szCs w:val="24"/>
        </w:rPr>
        <w:t>to market those same properties</w:t>
      </w:r>
      <w:r w:rsidR="00F879A2" w:rsidRPr="0055713E">
        <w:rPr>
          <w:sz w:val="24"/>
          <w:szCs w:val="24"/>
        </w:rPr>
        <w:t xml:space="preserve">.  </w:t>
      </w:r>
    </w:p>
    <w:p w:rsidR="00F879A2" w:rsidRPr="0055713E" w:rsidRDefault="00F879A2" w:rsidP="00292E0C">
      <w:pPr>
        <w:jc w:val="both"/>
        <w:rPr>
          <w:sz w:val="24"/>
          <w:szCs w:val="24"/>
        </w:rPr>
      </w:pPr>
    </w:p>
    <w:p w:rsidR="004E5FD9" w:rsidRPr="0055713E" w:rsidRDefault="00F879A2" w:rsidP="00292E0C">
      <w:pPr>
        <w:jc w:val="both"/>
        <w:rPr>
          <w:sz w:val="24"/>
          <w:szCs w:val="24"/>
        </w:rPr>
      </w:pPr>
      <w:r w:rsidRPr="0055713E">
        <w:rPr>
          <w:sz w:val="24"/>
          <w:szCs w:val="24"/>
        </w:rPr>
        <w:tab/>
        <w:t>The ratio or percentage difference between one single family dwelling and a portfolio of 12 units was determined by two methods. The first method involves a cost approach and the extracted depreciation from the replacement cost new. The Marshall Swift Cost Manual is used in this case and the square footage of all of the dwellings is summed in order to arrive at the total square footage based on an average unit size of 1</w:t>
      </w:r>
      <w:r w:rsidR="00897212">
        <w:rPr>
          <w:sz w:val="24"/>
          <w:szCs w:val="24"/>
        </w:rPr>
        <w:t>,</w:t>
      </w:r>
      <w:r w:rsidRPr="0055713E">
        <w:rPr>
          <w:sz w:val="24"/>
          <w:szCs w:val="24"/>
        </w:rPr>
        <w:t xml:space="preserve">426 square feet in this particular case.  The </w:t>
      </w:r>
      <w:r w:rsidR="00C928F0">
        <w:rPr>
          <w:sz w:val="24"/>
          <w:szCs w:val="24"/>
        </w:rPr>
        <w:t>year of construction is determined to be 1937</w:t>
      </w:r>
      <w:r w:rsidR="00897212">
        <w:rPr>
          <w:sz w:val="24"/>
          <w:szCs w:val="24"/>
        </w:rPr>
        <w:t xml:space="preserve"> </w:t>
      </w:r>
      <w:r w:rsidRPr="0055713E">
        <w:rPr>
          <w:sz w:val="24"/>
          <w:szCs w:val="24"/>
        </w:rPr>
        <w:t>with various amounts of depreciation occurring over the lifetime of each of the dwellings.</w:t>
      </w:r>
    </w:p>
    <w:p w:rsidR="00906793" w:rsidRDefault="00906793" w:rsidP="0055713E">
      <w:pPr>
        <w:ind w:firstLine="720"/>
        <w:jc w:val="both"/>
        <w:rPr>
          <w:sz w:val="24"/>
          <w:szCs w:val="24"/>
        </w:rPr>
      </w:pPr>
    </w:p>
    <w:p w:rsidR="00906793" w:rsidRDefault="00906793" w:rsidP="0055713E">
      <w:pPr>
        <w:ind w:firstLine="720"/>
        <w:jc w:val="both"/>
        <w:rPr>
          <w:sz w:val="24"/>
          <w:szCs w:val="24"/>
        </w:rPr>
      </w:pPr>
    </w:p>
    <w:p w:rsidR="00F879A2" w:rsidRPr="00897212" w:rsidRDefault="00F879A2" w:rsidP="0055713E">
      <w:pPr>
        <w:ind w:firstLine="720"/>
        <w:jc w:val="both"/>
        <w:rPr>
          <w:sz w:val="24"/>
          <w:szCs w:val="24"/>
        </w:rPr>
      </w:pPr>
      <w:r w:rsidRPr="00897212">
        <w:rPr>
          <w:sz w:val="24"/>
          <w:szCs w:val="24"/>
        </w:rPr>
        <w:t>The single family dwellings consist of the following sizes and ages in the tabulations below:</w:t>
      </w:r>
    </w:p>
    <w:p w:rsidR="003D476A" w:rsidRDefault="003D476A" w:rsidP="00292E0C">
      <w:pPr>
        <w:jc w:val="both"/>
      </w:pPr>
    </w:p>
    <w:p w:rsidR="003D476A" w:rsidRPr="00897212" w:rsidRDefault="003D476A" w:rsidP="00671F9A">
      <w:pPr>
        <w:tabs>
          <w:tab w:val="left" w:pos="4770"/>
          <w:tab w:val="left" w:pos="6390"/>
        </w:tabs>
        <w:ind w:hanging="90"/>
        <w:rPr>
          <w:i/>
          <w:sz w:val="24"/>
          <w:szCs w:val="24"/>
        </w:rPr>
      </w:pPr>
      <w:r>
        <w:rPr>
          <w:i/>
        </w:rPr>
        <w:t xml:space="preserve">        </w:t>
      </w:r>
      <w:r w:rsidR="00BB434B">
        <w:rPr>
          <w:i/>
        </w:rPr>
        <w:t xml:space="preserve">     </w:t>
      </w:r>
      <w:r w:rsidRPr="00897212">
        <w:rPr>
          <w:i/>
          <w:sz w:val="24"/>
          <w:szCs w:val="24"/>
        </w:rPr>
        <w:t xml:space="preserve">Square Feet       </w:t>
      </w:r>
      <w:r w:rsidR="0070110D" w:rsidRPr="00897212">
        <w:rPr>
          <w:i/>
          <w:sz w:val="24"/>
          <w:szCs w:val="24"/>
        </w:rPr>
        <w:t xml:space="preserve"> </w:t>
      </w:r>
      <w:r w:rsidR="00C928F0">
        <w:rPr>
          <w:i/>
          <w:sz w:val="24"/>
          <w:szCs w:val="24"/>
        </w:rPr>
        <w:t>A</w:t>
      </w:r>
      <w:r w:rsidRPr="00897212">
        <w:rPr>
          <w:i/>
          <w:sz w:val="24"/>
          <w:szCs w:val="24"/>
        </w:rPr>
        <w:t xml:space="preserve">ddress </w:t>
      </w:r>
      <w:r w:rsidR="00C928F0">
        <w:rPr>
          <w:i/>
          <w:sz w:val="24"/>
          <w:szCs w:val="24"/>
        </w:rPr>
        <w:tab/>
      </w:r>
      <w:r w:rsidRPr="00897212">
        <w:rPr>
          <w:i/>
          <w:sz w:val="24"/>
          <w:szCs w:val="24"/>
        </w:rPr>
        <w:t xml:space="preserve">   </w:t>
      </w:r>
      <w:r w:rsidR="00370D18" w:rsidRPr="00897212">
        <w:rPr>
          <w:i/>
          <w:sz w:val="24"/>
          <w:szCs w:val="24"/>
        </w:rPr>
        <w:t xml:space="preserve">  </w:t>
      </w:r>
      <w:r w:rsidR="00671F9A" w:rsidRPr="00897212">
        <w:rPr>
          <w:i/>
          <w:sz w:val="24"/>
          <w:szCs w:val="24"/>
        </w:rPr>
        <w:t xml:space="preserve">      Tax Value      </w:t>
      </w:r>
      <w:r w:rsidR="0070110D" w:rsidRPr="00897212">
        <w:rPr>
          <w:i/>
          <w:sz w:val="24"/>
          <w:szCs w:val="24"/>
        </w:rPr>
        <w:t xml:space="preserve">   </w:t>
      </w:r>
      <w:r w:rsidR="00671F9A" w:rsidRPr="00897212">
        <w:rPr>
          <w:i/>
          <w:sz w:val="24"/>
          <w:szCs w:val="24"/>
        </w:rPr>
        <w:t xml:space="preserve"> </w:t>
      </w:r>
      <w:r w:rsidRPr="00897212">
        <w:rPr>
          <w:i/>
          <w:sz w:val="24"/>
          <w:szCs w:val="24"/>
        </w:rPr>
        <w:t>Age</w:t>
      </w:r>
    </w:p>
    <w:tbl>
      <w:tblPr>
        <w:tblStyle w:val="TableGrid"/>
        <w:tblW w:w="8898" w:type="dxa"/>
        <w:tblInd w:w="948" w:type="dxa"/>
        <w:tblLook w:val="04A0" w:firstRow="1" w:lastRow="0" w:firstColumn="1" w:lastColumn="0" w:noHBand="0" w:noVBand="1"/>
      </w:tblPr>
      <w:tblGrid>
        <w:gridCol w:w="1853"/>
        <w:gridCol w:w="2195"/>
        <w:gridCol w:w="1690"/>
        <w:gridCol w:w="1596"/>
        <w:gridCol w:w="1564"/>
      </w:tblGrid>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2,158</w:t>
            </w:r>
          </w:p>
        </w:tc>
        <w:tc>
          <w:tcPr>
            <w:tcW w:w="2195" w:type="dxa"/>
          </w:tcPr>
          <w:p w:rsidR="003655AF" w:rsidRPr="00897212" w:rsidRDefault="003655AF" w:rsidP="00BB434B">
            <w:pPr>
              <w:jc w:val="right"/>
              <w:rPr>
                <w:sz w:val="24"/>
                <w:szCs w:val="24"/>
              </w:rPr>
            </w:pPr>
            <w:r w:rsidRPr="00897212">
              <w:rPr>
                <w:sz w:val="24"/>
                <w:szCs w:val="24"/>
              </w:rPr>
              <w:t>601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BB434B">
            <w:pPr>
              <w:jc w:val="right"/>
              <w:rPr>
                <w:sz w:val="24"/>
                <w:szCs w:val="24"/>
              </w:rPr>
            </w:pPr>
            <w:r w:rsidRPr="00897212">
              <w:rPr>
                <w:sz w:val="24"/>
                <w:szCs w:val="24"/>
              </w:rPr>
              <w:t>$  29,000</w:t>
            </w:r>
          </w:p>
        </w:tc>
        <w:tc>
          <w:tcPr>
            <w:tcW w:w="1596" w:type="dxa"/>
          </w:tcPr>
          <w:p w:rsidR="003655AF" w:rsidRPr="00897212" w:rsidRDefault="003655AF" w:rsidP="00BB434B">
            <w:pPr>
              <w:jc w:val="right"/>
              <w:rPr>
                <w:sz w:val="24"/>
                <w:szCs w:val="24"/>
              </w:rPr>
            </w:pPr>
            <w:r w:rsidRPr="00897212">
              <w:rPr>
                <w:sz w:val="24"/>
                <w:szCs w:val="24"/>
              </w:rPr>
              <w:t xml:space="preserve">  1910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1,428</w:t>
            </w:r>
          </w:p>
        </w:tc>
        <w:tc>
          <w:tcPr>
            <w:tcW w:w="2195" w:type="dxa"/>
          </w:tcPr>
          <w:p w:rsidR="003655AF" w:rsidRPr="00897212" w:rsidRDefault="003655AF" w:rsidP="00BB434B">
            <w:pPr>
              <w:jc w:val="right"/>
              <w:rPr>
                <w:sz w:val="24"/>
                <w:szCs w:val="24"/>
              </w:rPr>
            </w:pPr>
            <w:r w:rsidRPr="00897212">
              <w:rPr>
                <w:sz w:val="24"/>
                <w:szCs w:val="24"/>
              </w:rPr>
              <w:t>505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671F9A">
            <w:pPr>
              <w:jc w:val="right"/>
              <w:rPr>
                <w:sz w:val="24"/>
                <w:szCs w:val="24"/>
              </w:rPr>
            </w:pPr>
            <w:r w:rsidRPr="00897212">
              <w:rPr>
                <w:sz w:val="24"/>
                <w:szCs w:val="24"/>
              </w:rPr>
              <w:t>$  42,100</w:t>
            </w:r>
          </w:p>
        </w:tc>
        <w:tc>
          <w:tcPr>
            <w:tcW w:w="1596" w:type="dxa"/>
          </w:tcPr>
          <w:p w:rsidR="003655AF" w:rsidRPr="00897212" w:rsidRDefault="003655AF" w:rsidP="00BB434B">
            <w:pPr>
              <w:jc w:val="right"/>
              <w:rPr>
                <w:sz w:val="24"/>
                <w:szCs w:val="24"/>
              </w:rPr>
            </w:pPr>
            <w:r w:rsidRPr="00897212">
              <w:rPr>
                <w:sz w:val="24"/>
                <w:szCs w:val="24"/>
              </w:rPr>
              <w:t xml:space="preserve">  1950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1,320</w:t>
            </w:r>
          </w:p>
        </w:tc>
        <w:tc>
          <w:tcPr>
            <w:tcW w:w="2195" w:type="dxa"/>
          </w:tcPr>
          <w:p w:rsidR="003655AF" w:rsidRPr="00897212" w:rsidRDefault="003655AF" w:rsidP="00BB434B">
            <w:pPr>
              <w:jc w:val="right"/>
              <w:rPr>
                <w:sz w:val="24"/>
                <w:szCs w:val="24"/>
              </w:rPr>
            </w:pPr>
            <w:r w:rsidRPr="00897212">
              <w:rPr>
                <w:sz w:val="24"/>
                <w:szCs w:val="24"/>
              </w:rPr>
              <w:t>508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671F9A">
            <w:pPr>
              <w:jc w:val="right"/>
              <w:rPr>
                <w:sz w:val="24"/>
                <w:szCs w:val="24"/>
              </w:rPr>
            </w:pPr>
            <w:r w:rsidRPr="00897212">
              <w:rPr>
                <w:sz w:val="24"/>
                <w:szCs w:val="24"/>
              </w:rPr>
              <w:t>$  45,000</w:t>
            </w:r>
          </w:p>
        </w:tc>
        <w:tc>
          <w:tcPr>
            <w:tcW w:w="1596" w:type="dxa"/>
          </w:tcPr>
          <w:p w:rsidR="003655AF" w:rsidRPr="00897212" w:rsidRDefault="003655AF" w:rsidP="00BB434B">
            <w:pPr>
              <w:jc w:val="right"/>
              <w:rPr>
                <w:sz w:val="24"/>
                <w:szCs w:val="24"/>
              </w:rPr>
            </w:pPr>
            <w:r w:rsidRPr="00897212">
              <w:rPr>
                <w:sz w:val="24"/>
                <w:szCs w:val="24"/>
              </w:rPr>
              <w:t xml:space="preserve">  1950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1,260</w:t>
            </w:r>
          </w:p>
        </w:tc>
        <w:tc>
          <w:tcPr>
            <w:tcW w:w="2195" w:type="dxa"/>
          </w:tcPr>
          <w:p w:rsidR="003655AF" w:rsidRPr="00897212" w:rsidRDefault="003655AF" w:rsidP="00BB434B">
            <w:pPr>
              <w:ind w:hanging="18"/>
              <w:jc w:val="right"/>
              <w:rPr>
                <w:sz w:val="24"/>
                <w:szCs w:val="24"/>
              </w:rPr>
            </w:pPr>
            <w:r w:rsidRPr="00897212">
              <w:rPr>
                <w:sz w:val="24"/>
                <w:szCs w:val="24"/>
              </w:rPr>
              <w:t>512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671F9A">
            <w:pPr>
              <w:jc w:val="right"/>
              <w:rPr>
                <w:sz w:val="24"/>
                <w:szCs w:val="24"/>
              </w:rPr>
            </w:pPr>
            <w:r w:rsidRPr="00897212">
              <w:rPr>
                <w:sz w:val="24"/>
                <w:szCs w:val="24"/>
              </w:rPr>
              <w:t>$  54,900</w:t>
            </w:r>
          </w:p>
        </w:tc>
        <w:tc>
          <w:tcPr>
            <w:tcW w:w="1596" w:type="dxa"/>
          </w:tcPr>
          <w:p w:rsidR="003655AF" w:rsidRPr="00897212" w:rsidRDefault="003655AF" w:rsidP="00BB434B">
            <w:pPr>
              <w:jc w:val="right"/>
              <w:rPr>
                <w:sz w:val="24"/>
                <w:szCs w:val="24"/>
              </w:rPr>
            </w:pPr>
            <w:r w:rsidRPr="00897212">
              <w:rPr>
                <w:sz w:val="24"/>
                <w:szCs w:val="24"/>
              </w:rPr>
              <w:t xml:space="preserve">  1930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1,091</w:t>
            </w:r>
          </w:p>
        </w:tc>
        <w:tc>
          <w:tcPr>
            <w:tcW w:w="2195" w:type="dxa"/>
          </w:tcPr>
          <w:p w:rsidR="003655AF" w:rsidRPr="00897212" w:rsidRDefault="003655AF" w:rsidP="00BB434B">
            <w:pPr>
              <w:jc w:val="right"/>
              <w:rPr>
                <w:sz w:val="24"/>
                <w:szCs w:val="24"/>
              </w:rPr>
            </w:pPr>
            <w:r w:rsidRPr="00897212">
              <w:rPr>
                <w:sz w:val="24"/>
                <w:szCs w:val="24"/>
              </w:rPr>
              <w:t>602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21,700</w:t>
            </w:r>
          </w:p>
        </w:tc>
        <w:tc>
          <w:tcPr>
            <w:tcW w:w="1596" w:type="dxa"/>
          </w:tcPr>
          <w:p w:rsidR="003655AF" w:rsidRPr="00897212" w:rsidRDefault="003655AF" w:rsidP="00BB434B">
            <w:pPr>
              <w:jc w:val="right"/>
              <w:rPr>
                <w:sz w:val="24"/>
                <w:szCs w:val="24"/>
              </w:rPr>
            </w:pPr>
            <w:r w:rsidRPr="00897212">
              <w:rPr>
                <w:sz w:val="24"/>
                <w:szCs w:val="24"/>
              </w:rPr>
              <w:t xml:space="preserve">  1930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1,014</w:t>
            </w:r>
          </w:p>
        </w:tc>
        <w:tc>
          <w:tcPr>
            <w:tcW w:w="2195" w:type="dxa"/>
          </w:tcPr>
          <w:p w:rsidR="003655AF" w:rsidRPr="00897212" w:rsidRDefault="003655AF" w:rsidP="00BB434B">
            <w:pPr>
              <w:jc w:val="right"/>
              <w:rPr>
                <w:sz w:val="24"/>
                <w:szCs w:val="24"/>
              </w:rPr>
            </w:pPr>
            <w:r w:rsidRPr="00897212">
              <w:rPr>
                <w:sz w:val="24"/>
                <w:szCs w:val="24"/>
              </w:rPr>
              <w:t>606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28,200</w:t>
            </w:r>
          </w:p>
        </w:tc>
        <w:tc>
          <w:tcPr>
            <w:tcW w:w="1596" w:type="dxa"/>
          </w:tcPr>
          <w:p w:rsidR="003655AF" w:rsidRPr="00897212" w:rsidRDefault="003655AF" w:rsidP="00BB434B">
            <w:pPr>
              <w:jc w:val="right"/>
              <w:rPr>
                <w:sz w:val="24"/>
                <w:szCs w:val="24"/>
              </w:rPr>
            </w:pPr>
            <w:r w:rsidRPr="00897212">
              <w:rPr>
                <w:sz w:val="24"/>
                <w:szCs w:val="24"/>
              </w:rPr>
              <w:t xml:space="preserve">  1938</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930</w:t>
            </w:r>
          </w:p>
        </w:tc>
        <w:tc>
          <w:tcPr>
            <w:tcW w:w="2195" w:type="dxa"/>
          </w:tcPr>
          <w:p w:rsidR="003655AF" w:rsidRPr="00897212" w:rsidRDefault="003655AF" w:rsidP="00BB434B">
            <w:pPr>
              <w:jc w:val="right"/>
              <w:rPr>
                <w:sz w:val="24"/>
                <w:szCs w:val="24"/>
              </w:rPr>
            </w:pPr>
            <w:r w:rsidRPr="00897212">
              <w:rPr>
                <w:sz w:val="24"/>
                <w:szCs w:val="24"/>
              </w:rPr>
              <w:t>613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23,700</w:t>
            </w:r>
          </w:p>
        </w:tc>
        <w:tc>
          <w:tcPr>
            <w:tcW w:w="1596" w:type="dxa"/>
          </w:tcPr>
          <w:p w:rsidR="003655AF" w:rsidRPr="00897212" w:rsidRDefault="003655AF" w:rsidP="00BB434B">
            <w:pPr>
              <w:jc w:val="right"/>
              <w:rPr>
                <w:sz w:val="24"/>
                <w:szCs w:val="24"/>
              </w:rPr>
            </w:pPr>
            <w:r w:rsidRPr="00897212">
              <w:rPr>
                <w:sz w:val="24"/>
                <w:szCs w:val="24"/>
              </w:rPr>
              <w:t xml:space="preserve">  1930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1,176</w:t>
            </w:r>
          </w:p>
        </w:tc>
        <w:tc>
          <w:tcPr>
            <w:tcW w:w="2195" w:type="dxa"/>
          </w:tcPr>
          <w:p w:rsidR="003655AF" w:rsidRPr="00897212" w:rsidRDefault="003655AF" w:rsidP="00BB434B">
            <w:pPr>
              <w:jc w:val="right"/>
              <w:rPr>
                <w:sz w:val="24"/>
                <w:szCs w:val="24"/>
              </w:rPr>
            </w:pPr>
            <w:r w:rsidRPr="00897212">
              <w:rPr>
                <w:sz w:val="24"/>
                <w:szCs w:val="24"/>
              </w:rPr>
              <w:t>817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22,700</w:t>
            </w:r>
          </w:p>
        </w:tc>
        <w:tc>
          <w:tcPr>
            <w:tcW w:w="1596" w:type="dxa"/>
          </w:tcPr>
          <w:p w:rsidR="003655AF" w:rsidRPr="00897212" w:rsidRDefault="003655AF" w:rsidP="00BB434B">
            <w:pPr>
              <w:jc w:val="right"/>
              <w:rPr>
                <w:sz w:val="24"/>
                <w:szCs w:val="24"/>
              </w:rPr>
            </w:pPr>
            <w:r w:rsidRPr="00897212">
              <w:rPr>
                <w:sz w:val="24"/>
                <w:szCs w:val="24"/>
              </w:rPr>
              <w:t xml:space="preserve">  1950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1,218</w:t>
            </w:r>
          </w:p>
        </w:tc>
        <w:tc>
          <w:tcPr>
            <w:tcW w:w="2195" w:type="dxa"/>
          </w:tcPr>
          <w:p w:rsidR="003655AF" w:rsidRPr="00897212" w:rsidRDefault="003655AF" w:rsidP="00BB434B">
            <w:pPr>
              <w:jc w:val="right"/>
              <w:rPr>
                <w:sz w:val="24"/>
                <w:szCs w:val="24"/>
              </w:rPr>
            </w:pPr>
            <w:r w:rsidRPr="00897212">
              <w:rPr>
                <w:sz w:val="24"/>
                <w:szCs w:val="24"/>
              </w:rPr>
              <w:t>815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22,100</w:t>
            </w:r>
          </w:p>
        </w:tc>
        <w:tc>
          <w:tcPr>
            <w:tcW w:w="1596" w:type="dxa"/>
          </w:tcPr>
          <w:p w:rsidR="003655AF" w:rsidRPr="00897212" w:rsidRDefault="003655AF" w:rsidP="00BB434B">
            <w:pPr>
              <w:jc w:val="right"/>
              <w:rPr>
                <w:sz w:val="24"/>
                <w:szCs w:val="24"/>
              </w:rPr>
            </w:pPr>
            <w:r w:rsidRPr="00897212">
              <w:rPr>
                <w:sz w:val="24"/>
                <w:szCs w:val="24"/>
              </w:rPr>
              <w:t xml:space="preserve">  1950</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1,768</w:t>
            </w:r>
          </w:p>
        </w:tc>
        <w:tc>
          <w:tcPr>
            <w:tcW w:w="2195" w:type="dxa"/>
          </w:tcPr>
          <w:p w:rsidR="003655AF" w:rsidRPr="00897212" w:rsidRDefault="003655AF" w:rsidP="00BB434B">
            <w:pPr>
              <w:jc w:val="right"/>
              <w:rPr>
                <w:sz w:val="24"/>
                <w:szCs w:val="24"/>
              </w:rPr>
            </w:pPr>
            <w:r w:rsidRPr="00897212">
              <w:rPr>
                <w:sz w:val="24"/>
                <w:szCs w:val="24"/>
              </w:rPr>
              <w:t>807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47,700</w:t>
            </w:r>
          </w:p>
        </w:tc>
        <w:tc>
          <w:tcPr>
            <w:tcW w:w="1596" w:type="dxa"/>
          </w:tcPr>
          <w:p w:rsidR="003655AF" w:rsidRPr="00897212" w:rsidRDefault="003655AF" w:rsidP="00BB434B">
            <w:pPr>
              <w:jc w:val="right"/>
              <w:rPr>
                <w:sz w:val="24"/>
                <w:szCs w:val="24"/>
              </w:rPr>
            </w:pPr>
            <w:r w:rsidRPr="00897212">
              <w:rPr>
                <w:sz w:val="24"/>
                <w:szCs w:val="24"/>
              </w:rPr>
              <w:t xml:space="preserve">  1926</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1,520</w:t>
            </w:r>
          </w:p>
        </w:tc>
        <w:tc>
          <w:tcPr>
            <w:tcW w:w="2195" w:type="dxa"/>
          </w:tcPr>
          <w:p w:rsidR="003655AF" w:rsidRPr="00897212" w:rsidRDefault="003655AF" w:rsidP="00BB434B">
            <w:pPr>
              <w:jc w:val="right"/>
              <w:rPr>
                <w:sz w:val="24"/>
                <w:szCs w:val="24"/>
              </w:rPr>
            </w:pPr>
            <w:r w:rsidRPr="00897212">
              <w:rPr>
                <w:sz w:val="24"/>
                <w:szCs w:val="24"/>
              </w:rPr>
              <w:t>801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rPr>
            </w:pPr>
            <w:r w:rsidRPr="00897212">
              <w:rPr>
                <w:sz w:val="24"/>
                <w:szCs w:val="24"/>
              </w:rPr>
              <w:t>$  35,000</w:t>
            </w:r>
          </w:p>
        </w:tc>
        <w:tc>
          <w:tcPr>
            <w:tcW w:w="1596" w:type="dxa"/>
          </w:tcPr>
          <w:p w:rsidR="003655AF" w:rsidRPr="00897212" w:rsidRDefault="003655AF" w:rsidP="00BB434B">
            <w:pPr>
              <w:jc w:val="right"/>
              <w:rPr>
                <w:sz w:val="24"/>
                <w:szCs w:val="24"/>
              </w:rPr>
            </w:pPr>
            <w:r w:rsidRPr="00897212">
              <w:rPr>
                <w:sz w:val="24"/>
                <w:szCs w:val="24"/>
              </w:rPr>
              <w:t xml:space="preserve">  1932</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u w:val="single"/>
              </w:rPr>
            </w:pPr>
            <w:r w:rsidRPr="00897212">
              <w:rPr>
                <w:sz w:val="24"/>
                <w:szCs w:val="24"/>
                <w:u w:val="single"/>
              </w:rPr>
              <w:t xml:space="preserve">    2,227</w:t>
            </w:r>
          </w:p>
        </w:tc>
        <w:tc>
          <w:tcPr>
            <w:tcW w:w="2195" w:type="dxa"/>
          </w:tcPr>
          <w:p w:rsidR="003655AF" w:rsidRPr="00897212" w:rsidRDefault="003655AF" w:rsidP="00BB434B">
            <w:pPr>
              <w:jc w:val="right"/>
              <w:rPr>
                <w:sz w:val="24"/>
                <w:szCs w:val="24"/>
              </w:rPr>
            </w:pPr>
            <w:r w:rsidRPr="00897212">
              <w:rPr>
                <w:sz w:val="24"/>
                <w:szCs w:val="24"/>
              </w:rPr>
              <w:t>721 E 8</w:t>
            </w:r>
            <w:r w:rsidRPr="00897212">
              <w:rPr>
                <w:sz w:val="24"/>
                <w:szCs w:val="24"/>
                <w:vertAlign w:val="superscript"/>
              </w:rPr>
              <w:t>th</w:t>
            </w:r>
            <w:r w:rsidRPr="00897212">
              <w:rPr>
                <w:sz w:val="24"/>
                <w:szCs w:val="24"/>
              </w:rPr>
              <w:t xml:space="preserve"> Street</w:t>
            </w:r>
          </w:p>
        </w:tc>
        <w:tc>
          <w:tcPr>
            <w:tcW w:w="1690" w:type="dxa"/>
          </w:tcPr>
          <w:p w:rsidR="003655AF" w:rsidRPr="00897212" w:rsidRDefault="003655AF" w:rsidP="00E02AC3">
            <w:pPr>
              <w:jc w:val="right"/>
              <w:rPr>
                <w:sz w:val="24"/>
                <w:szCs w:val="24"/>
                <w:u w:val="single"/>
              </w:rPr>
            </w:pPr>
            <w:r w:rsidRPr="00897212">
              <w:rPr>
                <w:sz w:val="24"/>
                <w:szCs w:val="24"/>
                <w:u w:val="single"/>
              </w:rPr>
              <w:t>$  34,100</w:t>
            </w:r>
          </w:p>
        </w:tc>
        <w:tc>
          <w:tcPr>
            <w:tcW w:w="1596" w:type="dxa"/>
          </w:tcPr>
          <w:p w:rsidR="003655AF" w:rsidRPr="00897212" w:rsidRDefault="003655AF" w:rsidP="00BB434B">
            <w:pPr>
              <w:jc w:val="right"/>
              <w:rPr>
                <w:sz w:val="24"/>
                <w:szCs w:val="24"/>
              </w:rPr>
            </w:pPr>
            <w:r w:rsidRPr="00897212">
              <w:rPr>
                <w:sz w:val="24"/>
                <w:szCs w:val="24"/>
              </w:rPr>
              <w:t xml:space="preserve">  1946</w:t>
            </w:r>
          </w:p>
        </w:tc>
        <w:tc>
          <w:tcPr>
            <w:tcW w:w="1564" w:type="dxa"/>
          </w:tcPr>
          <w:p w:rsidR="003655AF" w:rsidRPr="00897212" w:rsidRDefault="003655AF" w:rsidP="00BB434B">
            <w:pPr>
              <w:jc w:val="right"/>
              <w:rPr>
                <w:sz w:val="24"/>
                <w:szCs w:val="24"/>
              </w:rPr>
            </w:pPr>
          </w:p>
        </w:tc>
      </w:tr>
      <w:tr w:rsidR="003655AF" w:rsidRPr="00897212" w:rsidTr="003655AF">
        <w:tc>
          <w:tcPr>
            <w:tcW w:w="1853" w:type="dxa"/>
          </w:tcPr>
          <w:p w:rsidR="003655AF" w:rsidRPr="00897212" w:rsidRDefault="003655AF" w:rsidP="00BB434B">
            <w:pPr>
              <w:jc w:val="right"/>
              <w:rPr>
                <w:sz w:val="24"/>
                <w:szCs w:val="24"/>
              </w:rPr>
            </w:pPr>
            <w:r w:rsidRPr="00897212">
              <w:rPr>
                <w:sz w:val="24"/>
                <w:szCs w:val="24"/>
              </w:rPr>
              <w:t xml:space="preserve"> 17,110 SF</w:t>
            </w:r>
          </w:p>
        </w:tc>
        <w:tc>
          <w:tcPr>
            <w:tcW w:w="2195" w:type="dxa"/>
          </w:tcPr>
          <w:p w:rsidR="003655AF" w:rsidRPr="00897212" w:rsidRDefault="003655AF" w:rsidP="00292E0C">
            <w:pPr>
              <w:jc w:val="both"/>
              <w:rPr>
                <w:sz w:val="24"/>
                <w:szCs w:val="24"/>
              </w:rPr>
            </w:pPr>
          </w:p>
        </w:tc>
        <w:tc>
          <w:tcPr>
            <w:tcW w:w="1690" w:type="dxa"/>
          </w:tcPr>
          <w:p w:rsidR="003655AF" w:rsidRPr="00897212" w:rsidRDefault="003655AF" w:rsidP="00370D18">
            <w:pPr>
              <w:jc w:val="both"/>
              <w:rPr>
                <w:sz w:val="24"/>
                <w:szCs w:val="24"/>
              </w:rPr>
            </w:pPr>
            <w:r w:rsidRPr="00897212">
              <w:rPr>
                <w:sz w:val="24"/>
                <w:szCs w:val="24"/>
              </w:rPr>
              <w:t xml:space="preserve">    </w:t>
            </w:r>
            <w:r>
              <w:rPr>
                <w:sz w:val="24"/>
                <w:szCs w:val="24"/>
              </w:rPr>
              <w:t xml:space="preserve">   </w:t>
            </w:r>
            <w:r w:rsidRPr="00897212">
              <w:rPr>
                <w:sz w:val="24"/>
                <w:szCs w:val="24"/>
              </w:rPr>
              <w:t>$406,200</w:t>
            </w:r>
          </w:p>
        </w:tc>
        <w:tc>
          <w:tcPr>
            <w:tcW w:w="1596" w:type="dxa"/>
          </w:tcPr>
          <w:p w:rsidR="003655AF" w:rsidRPr="00897212" w:rsidRDefault="003655AF" w:rsidP="00370D18">
            <w:pPr>
              <w:jc w:val="both"/>
              <w:rPr>
                <w:sz w:val="24"/>
                <w:szCs w:val="24"/>
              </w:rPr>
            </w:pPr>
          </w:p>
        </w:tc>
        <w:tc>
          <w:tcPr>
            <w:tcW w:w="1564" w:type="dxa"/>
          </w:tcPr>
          <w:p w:rsidR="003655AF" w:rsidRPr="00897212" w:rsidRDefault="003655AF" w:rsidP="00370D18">
            <w:pPr>
              <w:jc w:val="both"/>
              <w:rPr>
                <w:sz w:val="24"/>
                <w:szCs w:val="24"/>
              </w:rPr>
            </w:pPr>
          </w:p>
        </w:tc>
      </w:tr>
      <w:tr w:rsidR="003655AF" w:rsidTr="003655AF">
        <w:tc>
          <w:tcPr>
            <w:tcW w:w="1853" w:type="dxa"/>
            <w:vAlign w:val="center"/>
          </w:tcPr>
          <w:p w:rsidR="003655AF" w:rsidRPr="00897212" w:rsidRDefault="003655AF" w:rsidP="00671F9A">
            <w:pPr>
              <w:ind w:left="252" w:hanging="252"/>
              <w:jc w:val="center"/>
              <w:rPr>
                <w:sz w:val="18"/>
                <w:szCs w:val="18"/>
              </w:rPr>
            </w:pPr>
            <w:r>
              <w:rPr>
                <w:sz w:val="20"/>
                <w:szCs w:val="20"/>
              </w:rPr>
              <w:t xml:space="preserve">     </w:t>
            </w:r>
            <w:r w:rsidRPr="00897212">
              <w:rPr>
                <w:sz w:val="18"/>
                <w:szCs w:val="18"/>
              </w:rPr>
              <w:t>(1,426 average)</w:t>
            </w:r>
          </w:p>
        </w:tc>
        <w:tc>
          <w:tcPr>
            <w:tcW w:w="2195" w:type="dxa"/>
          </w:tcPr>
          <w:p w:rsidR="003655AF" w:rsidRDefault="003655AF" w:rsidP="00292E0C">
            <w:pPr>
              <w:jc w:val="both"/>
            </w:pPr>
          </w:p>
        </w:tc>
        <w:tc>
          <w:tcPr>
            <w:tcW w:w="1690" w:type="dxa"/>
          </w:tcPr>
          <w:p w:rsidR="003655AF" w:rsidRDefault="003655AF" w:rsidP="00BB434B">
            <w:pPr>
              <w:jc w:val="both"/>
              <w:rPr>
                <w:sz w:val="24"/>
                <w:szCs w:val="24"/>
              </w:rPr>
            </w:pPr>
          </w:p>
        </w:tc>
        <w:tc>
          <w:tcPr>
            <w:tcW w:w="1596" w:type="dxa"/>
            <w:vAlign w:val="center"/>
          </w:tcPr>
          <w:p w:rsidR="003655AF" w:rsidRPr="00671F9A" w:rsidRDefault="003655AF" w:rsidP="00E02AC3">
            <w:pPr>
              <w:jc w:val="center"/>
              <w:rPr>
                <w:sz w:val="20"/>
                <w:szCs w:val="20"/>
              </w:rPr>
            </w:pPr>
            <w:r w:rsidRPr="00671F9A">
              <w:rPr>
                <w:sz w:val="20"/>
                <w:szCs w:val="20"/>
              </w:rPr>
              <w:t>(193</w:t>
            </w:r>
            <w:r>
              <w:rPr>
                <w:sz w:val="20"/>
                <w:szCs w:val="20"/>
              </w:rPr>
              <w:t>7</w:t>
            </w:r>
            <w:r w:rsidRPr="00671F9A">
              <w:rPr>
                <w:sz w:val="20"/>
                <w:szCs w:val="20"/>
              </w:rPr>
              <w:t xml:space="preserve"> average)</w:t>
            </w:r>
          </w:p>
        </w:tc>
        <w:tc>
          <w:tcPr>
            <w:tcW w:w="1564" w:type="dxa"/>
          </w:tcPr>
          <w:p w:rsidR="003655AF" w:rsidRPr="00671F9A" w:rsidRDefault="003655AF" w:rsidP="00E02AC3">
            <w:pPr>
              <w:jc w:val="center"/>
              <w:rPr>
                <w:sz w:val="20"/>
                <w:szCs w:val="20"/>
              </w:rPr>
            </w:pPr>
          </w:p>
        </w:tc>
      </w:tr>
    </w:tbl>
    <w:p w:rsidR="0070110D" w:rsidRDefault="0070110D" w:rsidP="00292E0C">
      <w:pPr>
        <w:jc w:val="both"/>
      </w:pPr>
    </w:p>
    <w:p w:rsidR="0070110D" w:rsidRPr="00897212" w:rsidRDefault="00E02AC3" w:rsidP="00292E0C">
      <w:pPr>
        <w:jc w:val="both"/>
        <w:rPr>
          <w:sz w:val="24"/>
          <w:szCs w:val="24"/>
        </w:rPr>
      </w:pPr>
      <w:r>
        <w:tab/>
      </w:r>
      <w:r w:rsidRPr="00897212">
        <w:rPr>
          <w:sz w:val="24"/>
          <w:szCs w:val="24"/>
        </w:rPr>
        <w:t>In this case about half of the dwellings are brick veneer and about half have wood siding and therefore, a combination from the Marshall Swift manual</w:t>
      </w:r>
      <w:r w:rsidR="0070110D" w:rsidRPr="00897212">
        <w:rPr>
          <w:sz w:val="24"/>
          <w:szCs w:val="24"/>
        </w:rPr>
        <w:t xml:space="preserve"> of their cost is determined as follows:</w:t>
      </w:r>
    </w:p>
    <w:p w:rsidR="0070110D" w:rsidRPr="00897212" w:rsidRDefault="0070110D" w:rsidP="00292E0C">
      <w:pPr>
        <w:jc w:val="both"/>
        <w:rPr>
          <w:sz w:val="24"/>
          <w:szCs w:val="24"/>
        </w:rPr>
      </w:pPr>
    </w:p>
    <w:p w:rsidR="0070110D" w:rsidRPr="00897212" w:rsidRDefault="0070110D" w:rsidP="00292E0C">
      <w:pPr>
        <w:jc w:val="both"/>
        <w:rPr>
          <w:sz w:val="24"/>
          <w:szCs w:val="24"/>
        </w:rPr>
      </w:pPr>
      <w:r w:rsidRPr="00897212">
        <w:rPr>
          <w:sz w:val="24"/>
          <w:szCs w:val="24"/>
        </w:rPr>
        <w:t xml:space="preserve">73.31 </w:t>
      </w:r>
      <w:r w:rsidR="00897212">
        <w:rPr>
          <w:sz w:val="24"/>
          <w:szCs w:val="24"/>
        </w:rPr>
        <w:t xml:space="preserve">  </w:t>
      </w:r>
      <w:r w:rsidRPr="00897212">
        <w:rPr>
          <w:sz w:val="24"/>
          <w:szCs w:val="24"/>
        </w:rPr>
        <w:t>with siding  X TLM (time location modifier) 0.91 = 66.71</w:t>
      </w:r>
    </w:p>
    <w:p w:rsidR="0070110D" w:rsidRPr="00897212" w:rsidRDefault="0070110D" w:rsidP="00292E0C">
      <w:pPr>
        <w:jc w:val="both"/>
        <w:rPr>
          <w:sz w:val="24"/>
          <w:szCs w:val="24"/>
        </w:rPr>
      </w:pPr>
      <w:r w:rsidRPr="00897212">
        <w:rPr>
          <w:sz w:val="24"/>
          <w:szCs w:val="24"/>
        </w:rPr>
        <w:t xml:space="preserve">79.63 Brick veneer X TLM (time location modifier) 0.91 = </w:t>
      </w:r>
      <w:r w:rsidRPr="00897212">
        <w:rPr>
          <w:sz w:val="24"/>
          <w:szCs w:val="24"/>
          <w:u w:val="single"/>
        </w:rPr>
        <w:t>72.46</w:t>
      </w:r>
      <w:r w:rsidRPr="00897212">
        <w:rPr>
          <w:sz w:val="24"/>
          <w:szCs w:val="24"/>
        </w:rPr>
        <w:t xml:space="preserve"> </w:t>
      </w:r>
    </w:p>
    <w:p w:rsidR="00E02AC3" w:rsidRDefault="0070110D" w:rsidP="00F530D0">
      <w:pPr>
        <w:ind w:right="-180"/>
      </w:pPr>
      <w:r w:rsidRPr="00897212">
        <w:rPr>
          <w:sz w:val="24"/>
          <w:szCs w:val="24"/>
        </w:rPr>
        <w:t xml:space="preserve">                                                                        </w:t>
      </w:r>
      <w:r w:rsidR="00F530D0" w:rsidRPr="00897212">
        <w:rPr>
          <w:sz w:val="24"/>
          <w:szCs w:val="24"/>
        </w:rPr>
        <w:t xml:space="preserve"> </w:t>
      </w:r>
      <w:r w:rsidRPr="00897212">
        <w:rPr>
          <w:sz w:val="24"/>
          <w:szCs w:val="24"/>
        </w:rPr>
        <w:t xml:space="preserve"> Average</w:t>
      </w:r>
      <w:r w:rsidR="00F530D0" w:rsidRPr="00897212">
        <w:rPr>
          <w:sz w:val="24"/>
          <w:szCs w:val="24"/>
        </w:rPr>
        <w:t xml:space="preserve">    </w:t>
      </w:r>
      <w:r w:rsidRPr="00897212">
        <w:rPr>
          <w:sz w:val="24"/>
          <w:szCs w:val="24"/>
        </w:rPr>
        <w:t>69.59</w:t>
      </w:r>
      <w:r w:rsidR="00897212">
        <w:rPr>
          <w:sz w:val="24"/>
          <w:szCs w:val="24"/>
        </w:rPr>
        <w:t xml:space="preserve"> </w:t>
      </w:r>
      <w:r w:rsidRPr="00897212">
        <w:rPr>
          <w:sz w:val="24"/>
          <w:szCs w:val="24"/>
        </w:rPr>
        <w:t>+</w:t>
      </w:r>
      <w:r w:rsidR="00897212">
        <w:rPr>
          <w:sz w:val="24"/>
          <w:szCs w:val="24"/>
        </w:rPr>
        <w:t xml:space="preserve"> </w:t>
      </w:r>
      <w:r w:rsidR="00BE0DEB" w:rsidRPr="00897212">
        <w:rPr>
          <w:sz w:val="24"/>
          <w:szCs w:val="24"/>
        </w:rPr>
        <w:t>$</w:t>
      </w:r>
      <w:r w:rsidRPr="00897212">
        <w:rPr>
          <w:sz w:val="24"/>
          <w:szCs w:val="24"/>
        </w:rPr>
        <w:t>6.41</w:t>
      </w:r>
      <w:r w:rsidR="00E14035">
        <w:rPr>
          <w:sz w:val="24"/>
          <w:szCs w:val="24"/>
        </w:rPr>
        <w:t>(</w:t>
      </w:r>
      <w:r w:rsidR="00897212">
        <w:rPr>
          <w:sz w:val="24"/>
          <w:szCs w:val="24"/>
        </w:rPr>
        <w:t xml:space="preserve">extras) </w:t>
      </w:r>
      <w:r w:rsidRPr="00897212">
        <w:rPr>
          <w:sz w:val="24"/>
          <w:szCs w:val="24"/>
        </w:rPr>
        <w:t>=</w:t>
      </w:r>
      <w:r w:rsidR="00E14035">
        <w:rPr>
          <w:sz w:val="24"/>
          <w:szCs w:val="24"/>
        </w:rPr>
        <w:t xml:space="preserve"> </w:t>
      </w:r>
      <w:r w:rsidR="00BE0DEB" w:rsidRPr="00897212">
        <w:rPr>
          <w:sz w:val="24"/>
          <w:szCs w:val="24"/>
        </w:rPr>
        <w:t>$</w:t>
      </w:r>
      <w:r w:rsidRPr="00897212">
        <w:rPr>
          <w:sz w:val="24"/>
          <w:szCs w:val="24"/>
        </w:rPr>
        <w:t>76.00</w:t>
      </w:r>
      <w:r>
        <w:t xml:space="preserve">                                                                                </w:t>
      </w:r>
      <w:r w:rsidR="00F530D0">
        <w:t xml:space="preserve">                                                                                                                                                                                                                               </w:t>
      </w:r>
    </w:p>
    <w:p w:rsidR="009B1A54" w:rsidRDefault="009B1A54" w:rsidP="00292E0C">
      <w:pPr>
        <w:jc w:val="both"/>
      </w:pPr>
    </w:p>
    <w:tbl>
      <w:tblPr>
        <w:tblStyle w:val="TableGrid"/>
        <w:tblW w:w="0" w:type="auto"/>
        <w:tblLook w:val="04A0" w:firstRow="1" w:lastRow="0" w:firstColumn="1" w:lastColumn="0" w:noHBand="0" w:noVBand="1"/>
      </w:tblPr>
      <w:tblGrid>
        <w:gridCol w:w="1998"/>
        <w:gridCol w:w="3600"/>
        <w:gridCol w:w="1980"/>
      </w:tblGrid>
      <w:tr w:rsidR="009B1A54" w:rsidTr="009B1A54">
        <w:tc>
          <w:tcPr>
            <w:tcW w:w="1998" w:type="dxa"/>
          </w:tcPr>
          <w:p w:rsidR="009B1A54" w:rsidRPr="00897212" w:rsidRDefault="009B1A54" w:rsidP="00292E0C">
            <w:pPr>
              <w:jc w:val="both"/>
              <w:rPr>
                <w:sz w:val="24"/>
                <w:szCs w:val="24"/>
              </w:rPr>
            </w:pPr>
            <w:r w:rsidRPr="00897212">
              <w:rPr>
                <w:sz w:val="24"/>
                <w:szCs w:val="24"/>
              </w:rPr>
              <w:t>Appliance</w:t>
            </w:r>
          </w:p>
        </w:tc>
        <w:tc>
          <w:tcPr>
            <w:tcW w:w="3600" w:type="dxa"/>
          </w:tcPr>
          <w:p w:rsidR="009B1A54" w:rsidRPr="00897212" w:rsidRDefault="009B1A54" w:rsidP="00B84615">
            <w:pPr>
              <w:jc w:val="both"/>
              <w:rPr>
                <w:sz w:val="24"/>
                <w:szCs w:val="24"/>
              </w:rPr>
            </w:pPr>
            <w:r w:rsidRPr="00897212">
              <w:rPr>
                <w:sz w:val="24"/>
                <w:szCs w:val="24"/>
              </w:rPr>
              <w:t>$1500/Unit</w:t>
            </w:r>
          </w:p>
        </w:tc>
        <w:tc>
          <w:tcPr>
            <w:tcW w:w="1980" w:type="dxa"/>
          </w:tcPr>
          <w:p w:rsidR="009B1A54" w:rsidRPr="00897212" w:rsidRDefault="009B1A54" w:rsidP="009B1A54">
            <w:pPr>
              <w:jc w:val="both"/>
              <w:rPr>
                <w:sz w:val="24"/>
                <w:szCs w:val="24"/>
              </w:rPr>
            </w:pPr>
            <w:r w:rsidRPr="00897212">
              <w:rPr>
                <w:sz w:val="24"/>
                <w:szCs w:val="24"/>
              </w:rPr>
              <w:t>$   1.05</w:t>
            </w:r>
          </w:p>
        </w:tc>
      </w:tr>
      <w:tr w:rsidR="009B1A54" w:rsidTr="009B1A54">
        <w:tc>
          <w:tcPr>
            <w:tcW w:w="1998" w:type="dxa"/>
          </w:tcPr>
          <w:p w:rsidR="009B1A54" w:rsidRPr="00897212" w:rsidRDefault="009B1A54" w:rsidP="00292E0C">
            <w:pPr>
              <w:jc w:val="both"/>
              <w:rPr>
                <w:sz w:val="24"/>
                <w:szCs w:val="24"/>
              </w:rPr>
            </w:pPr>
            <w:r w:rsidRPr="00897212">
              <w:rPr>
                <w:sz w:val="24"/>
                <w:szCs w:val="24"/>
              </w:rPr>
              <w:t>HVAC</w:t>
            </w:r>
          </w:p>
        </w:tc>
        <w:tc>
          <w:tcPr>
            <w:tcW w:w="3600" w:type="dxa"/>
          </w:tcPr>
          <w:p w:rsidR="009B1A54" w:rsidRPr="00897212" w:rsidRDefault="009B1A54" w:rsidP="009B1A54">
            <w:pPr>
              <w:jc w:val="both"/>
              <w:rPr>
                <w:sz w:val="24"/>
                <w:szCs w:val="24"/>
              </w:rPr>
            </w:pPr>
            <w:r w:rsidRPr="00897212">
              <w:rPr>
                <w:sz w:val="24"/>
                <w:szCs w:val="24"/>
              </w:rPr>
              <w:t>$      2.61</w:t>
            </w:r>
          </w:p>
        </w:tc>
        <w:tc>
          <w:tcPr>
            <w:tcW w:w="1980" w:type="dxa"/>
          </w:tcPr>
          <w:p w:rsidR="009B1A54" w:rsidRPr="00897212" w:rsidRDefault="009B1A54" w:rsidP="009B1A54">
            <w:pPr>
              <w:jc w:val="both"/>
              <w:rPr>
                <w:sz w:val="24"/>
                <w:szCs w:val="24"/>
              </w:rPr>
            </w:pPr>
            <w:r w:rsidRPr="00897212">
              <w:rPr>
                <w:sz w:val="24"/>
                <w:szCs w:val="24"/>
              </w:rPr>
              <w:t>$   2.61</w:t>
            </w:r>
          </w:p>
        </w:tc>
      </w:tr>
      <w:tr w:rsidR="009B1A54" w:rsidTr="009B1A54">
        <w:tc>
          <w:tcPr>
            <w:tcW w:w="1998" w:type="dxa"/>
          </w:tcPr>
          <w:p w:rsidR="009B1A54" w:rsidRPr="00897212" w:rsidRDefault="009B1A54" w:rsidP="00292E0C">
            <w:pPr>
              <w:jc w:val="both"/>
              <w:rPr>
                <w:sz w:val="24"/>
                <w:szCs w:val="24"/>
              </w:rPr>
            </w:pPr>
            <w:r w:rsidRPr="00897212">
              <w:rPr>
                <w:sz w:val="24"/>
                <w:szCs w:val="24"/>
              </w:rPr>
              <w:t>Flooring</w:t>
            </w:r>
          </w:p>
        </w:tc>
        <w:tc>
          <w:tcPr>
            <w:tcW w:w="3600" w:type="dxa"/>
          </w:tcPr>
          <w:p w:rsidR="009B1A54" w:rsidRPr="00897212" w:rsidRDefault="009B1A54" w:rsidP="00292E0C">
            <w:pPr>
              <w:jc w:val="both"/>
              <w:rPr>
                <w:sz w:val="24"/>
                <w:szCs w:val="24"/>
              </w:rPr>
            </w:pPr>
            <w:r w:rsidRPr="00897212">
              <w:rPr>
                <w:sz w:val="24"/>
                <w:szCs w:val="24"/>
              </w:rPr>
              <w:t>$      2.75</w:t>
            </w:r>
          </w:p>
        </w:tc>
        <w:tc>
          <w:tcPr>
            <w:tcW w:w="1980" w:type="dxa"/>
          </w:tcPr>
          <w:p w:rsidR="009B1A54" w:rsidRPr="00897212" w:rsidRDefault="009B1A54" w:rsidP="009B1A54">
            <w:pPr>
              <w:jc w:val="both"/>
              <w:rPr>
                <w:sz w:val="24"/>
                <w:szCs w:val="24"/>
                <w:u w:val="single"/>
              </w:rPr>
            </w:pPr>
            <w:r w:rsidRPr="00897212">
              <w:rPr>
                <w:sz w:val="24"/>
                <w:szCs w:val="24"/>
                <w:u w:val="single"/>
              </w:rPr>
              <w:t>$   2.75</w:t>
            </w:r>
          </w:p>
        </w:tc>
      </w:tr>
      <w:tr w:rsidR="009B1A54" w:rsidTr="009B1A54">
        <w:tc>
          <w:tcPr>
            <w:tcW w:w="1998" w:type="dxa"/>
          </w:tcPr>
          <w:p w:rsidR="009B1A54" w:rsidRPr="00897212" w:rsidRDefault="009B1A54" w:rsidP="00292E0C">
            <w:pPr>
              <w:jc w:val="both"/>
              <w:rPr>
                <w:sz w:val="24"/>
                <w:szCs w:val="24"/>
              </w:rPr>
            </w:pPr>
          </w:p>
        </w:tc>
        <w:tc>
          <w:tcPr>
            <w:tcW w:w="3600" w:type="dxa"/>
          </w:tcPr>
          <w:p w:rsidR="009B1A54" w:rsidRPr="00897212" w:rsidRDefault="009B1A54" w:rsidP="009B1A54">
            <w:pPr>
              <w:jc w:val="both"/>
              <w:rPr>
                <w:sz w:val="24"/>
                <w:szCs w:val="24"/>
              </w:rPr>
            </w:pPr>
          </w:p>
        </w:tc>
        <w:tc>
          <w:tcPr>
            <w:tcW w:w="1980" w:type="dxa"/>
          </w:tcPr>
          <w:p w:rsidR="009B1A54" w:rsidRPr="00897212" w:rsidRDefault="009B1A54" w:rsidP="009B1A54">
            <w:pPr>
              <w:jc w:val="both"/>
              <w:rPr>
                <w:sz w:val="24"/>
                <w:szCs w:val="24"/>
              </w:rPr>
            </w:pPr>
            <w:r w:rsidRPr="00897212">
              <w:rPr>
                <w:sz w:val="24"/>
                <w:szCs w:val="24"/>
              </w:rPr>
              <w:t>$   6.41</w:t>
            </w:r>
          </w:p>
        </w:tc>
      </w:tr>
    </w:tbl>
    <w:p w:rsidR="009B1A54" w:rsidRDefault="009B1A54" w:rsidP="00292E0C">
      <w:pPr>
        <w:jc w:val="both"/>
      </w:pPr>
    </w:p>
    <w:p w:rsidR="00BE0DEB" w:rsidRDefault="00BE0DEB" w:rsidP="00292E0C">
      <w:pPr>
        <w:jc w:val="both"/>
      </w:pPr>
    </w:p>
    <w:p w:rsidR="00E14035" w:rsidRDefault="00E14035" w:rsidP="00292E0C">
      <w:pPr>
        <w:jc w:val="both"/>
      </w:pPr>
    </w:p>
    <w:p w:rsidR="00E14035" w:rsidRDefault="00E14035" w:rsidP="00292E0C">
      <w:pPr>
        <w:jc w:val="both"/>
      </w:pPr>
    </w:p>
    <w:p w:rsidR="00BE0DEB" w:rsidRPr="00E14035" w:rsidRDefault="00BE0DEB" w:rsidP="00292E0C">
      <w:pPr>
        <w:jc w:val="both"/>
        <w:rPr>
          <w:sz w:val="24"/>
          <w:szCs w:val="24"/>
        </w:rPr>
      </w:pPr>
      <w:r w:rsidRPr="00E14035">
        <w:rPr>
          <w:sz w:val="24"/>
          <w:szCs w:val="24"/>
        </w:rPr>
        <w:t>Total replacement cost new of all dwellings:</w:t>
      </w:r>
    </w:p>
    <w:p w:rsidR="00BE0DEB" w:rsidRPr="00E14035" w:rsidRDefault="00BE0DEB" w:rsidP="00292E0C">
      <w:pPr>
        <w:jc w:val="both"/>
        <w:rPr>
          <w:sz w:val="24"/>
          <w:szCs w:val="24"/>
        </w:rPr>
      </w:pPr>
    </w:p>
    <w:p w:rsidR="00BE0DEB" w:rsidRPr="00E14035" w:rsidRDefault="00BE0DEB" w:rsidP="00292E0C">
      <w:pPr>
        <w:jc w:val="both"/>
        <w:rPr>
          <w:sz w:val="24"/>
          <w:szCs w:val="24"/>
        </w:rPr>
      </w:pPr>
      <w:r w:rsidRPr="00E14035">
        <w:rPr>
          <w:sz w:val="24"/>
          <w:szCs w:val="24"/>
        </w:rPr>
        <w:t>17,110 Square Feet x $76 = $1,300,360</w:t>
      </w:r>
    </w:p>
    <w:p w:rsidR="00BE0DEB" w:rsidRPr="00E14035" w:rsidRDefault="00BE0DEB" w:rsidP="00292E0C">
      <w:pPr>
        <w:jc w:val="both"/>
        <w:rPr>
          <w:sz w:val="24"/>
          <w:szCs w:val="24"/>
        </w:rPr>
      </w:pPr>
      <w:r w:rsidRPr="00E14035">
        <w:rPr>
          <w:sz w:val="24"/>
          <w:szCs w:val="24"/>
        </w:rPr>
        <w:t xml:space="preserve">             </w:t>
      </w:r>
    </w:p>
    <w:tbl>
      <w:tblPr>
        <w:tblStyle w:val="TableGrid"/>
        <w:tblW w:w="0" w:type="auto"/>
        <w:tblLook w:val="04A0" w:firstRow="1" w:lastRow="0" w:firstColumn="1" w:lastColumn="0" w:noHBand="0" w:noVBand="1"/>
      </w:tblPr>
      <w:tblGrid>
        <w:gridCol w:w="5103"/>
        <w:gridCol w:w="1665"/>
      </w:tblGrid>
      <w:tr w:rsidR="00BE0DEB" w:rsidRPr="00E14035" w:rsidTr="00B84615">
        <w:tc>
          <w:tcPr>
            <w:tcW w:w="5103" w:type="dxa"/>
          </w:tcPr>
          <w:p w:rsidR="00BE0DEB" w:rsidRPr="00E14035" w:rsidRDefault="00BE0DEB" w:rsidP="00292E0C">
            <w:pPr>
              <w:jc w:val="both"/>
              <w:rPr>
                <w:sz w:val="24"/>
                <w:szCs w:val="24"/>
              </w:rPr>
            </w:pPr>
            <w:r w:rsidRPr="00E14035">
              <w:rPr>
                <w:sz w:val="24"/>
                <w:szCs w:val="24"/>
              </w:rPr>
              <w:t>Sales Price</w:t>
            </w:r>
          </w:p>
        </w:tc>
        <w:tc>
          <w:tcPr>
            <w:tcW w:w="1665" w:type="dxa"/>
          </w:tcPr>
          <w:p w:rsidR="00BE0DEB" w:rsidRPr="00E14035" w:rsidRDefault="00BE0DEB" w:rsidP="00B84615">
            <w:pPr>
              <w:jc w:val="both"/>
              <w:rPr>
                <w:sz w:val="24"/>
                <w:szCs w:val="24"/>
              </w:rPr>
            </w:pPr>
            <w:r w:rsidRPr="00E14035">
              <w:rPr>
                <w:sz w:val="24"/>
                <w:szCs w:val="24"/>
              </w:rPr>
              <w:t xml:space="preserve">  </w:t>
            </w:r>
            <w:r w:rsidR="00E14035">
              <w:rPr>
                <w:sz w:val="24"/>
                <w:szCs w:val="24"/>
              </w:rPr>
              <w:t xml:space="preserve">  </w:t>
            </w:r>
            <w:r w:rsidRPr="00E14035">
              <w:rPr>
                <w:sz w:val="24"/>
                <w:szCs w:val="24"/>
              </w:rPr>
              <w:t>$269,000</w:t>
            </w:r>
          </w:p>
        </w:tc>
      </w:tr>
      <w:tr w:rsidR="00BE0DEB" w:rsidRPr="00E14035" w:rsidTr="00B84615">
        <w:tc>
          <w:tcPr>
            <w:tcW w:w="5103" w:type="dxa"/>
          </w:tcPr>
          <w:p w:rsidR="00BE0DEB" w:rsidRPr="00E14035" w:rsidRDefault="00BE0DEB" w:rsidP="00B84615">
            <w:pPr>
              <w:jc w:val="both"/>
              <w:rPr>
                <w:sz w:val="24"/>
                <w:szCs w:val="24"/>
              </w:rPr>
            </w:pPr>
            <w:r w:rsidRPr="00E14035">
              <w:rPr>
                <w:sz w:val="24"/>
                <w:szCs w:val="24"/>
              </w:rPr>
              <w:t>Less Land Value (12 X $</w:t>
            </w:r>
            <w:r w:rsidR="00BA7EF1" w:rsidRPr="00E14035">
              <w:rPr>
                <w:sz w:val="24"/>
                <w:szCs w:val="24"/>
              </w:rPr>
              <w:t>1</w:t>
            </w:r>
            <w:r w:rsidRPr="00E14035">
              <w:rPr>
                <w:sz w:val="24"/>
                <w:szCs w:val="24"/>
              </w:rPr>
              <w:t xml:space="preserve">0,000/lot)       </w:t>
            </w:r>
          </w:p>
        </w:tc>
        <w:tc>
          <w:tcPr>
            <w:tcW w:w="1665" w:type="dxa"/>
          </w:tcPr>
          <w:p w:rsidR="00BE0DEB" w:rsidRPr="00E14035" w:rsidRDefault="00BE0DEB" w:rsidP="00B84615">
            <w:pPr>
              <w:jc w:val="both"/>
              <w:rPr>
                <w:sz w:val="24"/>
                <w:szCs w:val="24"/>
                <w:u w:val="single"/>
              </w:rPr>
            </w:pPr>
            <w:r w:rsidRPr="00E14035">
              <w:rPr>
                <w:sz w:val="24"/>
                <w:szCs w:val="24"/>
              </w:rPr>
              <w:t xml:space="preserve">  </w:t>
            </w:r>
            <w:r w:rsidR="00E14035">
              <w:rPr>
                <w:sz w:val="24"/>
                <w:szCs w:val="24"/>
              </w:rPr>
              <w:t xml:space="preserve">  </w:t>
            </w:r>
            <w:r w:rsidRPr="00E14035">
              <w:rPr>
                <w:sz w:val="24"/>
                <w:szCs w:val="24"/>
                <w:u w:val="single"/>
              </w:rPr>
              <w:t xml:space="preserve">$120,000 </w:t>
            </w:r>
          </w:p>
        </w:tc>
      </w:tr>
      <w:tr w:rsidR="00BE0DEB" w:rsidRPr="00E14035" w:rsidTr="00B84615">
        <w:tc>
          <w:tcPr>
            <w:tcW w:w="5103" w:type="dxa"/>
          </w:tcPr>
          <w:p w:rsidR="00BE0DEB" w:rsidRPr="00E14035" w:rsidRDefault="00BA7EF1" w:rsidP="00292E0C">
            <w:pPr>
              <w:jc w:val="both"/>
              <w:rPr>
                <w:sz w:val="24"/>
                <w:szCs w:val="24"/>
              </w:rPr>
            </w:pPr>
            <w:r w:rsidRPr="00E14035">
              <w:rPr>
                <w:sz w:val="24"/>
                <w:szCs w:val="24"/>
              </w:rPr>
              <w:t>Improvement Value</w:t>
            </w:r>
          </w:p>
        </w:tc>
        <w:tc>
          <w:tcPr>
            <w:tcW w:w="1665" w:type="dxa"/>
          </w:tcPr>
          <w:p w:rsidR="00BE0DEB" w:rsidRPr="00E14035" w:rsidRDefault="00BA7EF1" w:rsidP="00B84615">
            <w:pPr>
              <w:jc w:val="both"/>
              <w:rPr>
                <w:sz w:val="24"/>
                <w:szCs w:val="24"/>
              </w:rPr>
            </w:pPr>
            <w:r w:rsidRPr="00E14035">
              <w:rPr>
                <w:sz w:val="24"/>
                <w:szCs w:val="24"/>
              </w:rPr>
              <w:t xml:space="preserve">  </w:t>
            </w:r>
            <w:r w:rsidR="00E14035">
              <w:rPr>
                <w:sz w:val="24"/>
                <w:szCs w:val="24"/>
              </w:rPr>
              <w:t xml:space="preserve">  </w:t>
            </w:r>
            <w:r w:rsidRPr="00E14035">
              <w:rPr>
                <w:sz w:val="24"/>
                <w:szCs w:val="24"/>
              </w:rPr>
              <w:t>$149,000</w:t>
            </w:r>
          </w:p>
        </w:tc>
      </w:tr>
    </w:tbl>
    <w:p w:rsidR="00BE0DEB" w:rsidRPr="00E14035" w:rsidRDefault="00BE0DEB" w:rsidP="00BE0DEB">
      <w:pPr>
        <w:jc w:val="both"/>
        <w:rPr>
          <w:sz w:val="24"/>
          <w:szCs w:val="24"/>
        </w:rPr>
      </w:pPr>
    </w:p>
    <w:tbl>
      <w:tblPr>
        <w:tblStyle w:val="TableGrid"/>
        <w:tblW w:w="0" w:type="auto"/>
        <w:tblLook w:val="04A0" w:firstRow="1" w:lastRow="0" w:firstColumn="1" w:lastColumn="0" w:noHBand="0" w:noVBand="1"/>
      </w:tblPr>
      <w:tblGrid>
        <w:gridCol w:w="5103"/>
        <w:gridCol w:w="1665"/>
      </w:tblGrid>
      <w:tr w:rsidR="00BA7EF1" w:rsidRPr="00E14035" w:rsidTr="00B84615">
        <w:tc>
          <w:tcPr>
            <w:tcW w:w="5103" w:type="dxa"/>
          </w:tcPr>
          <w:p w:rsidR="00BA7EF1" w:rsidRPr="00E14035" w:rsidRDefault="00C337E3" w:rsidP="00C337E3">
            <w:pPr>
              <w:jc w:val="both"/>
              <w:rPr>
                <w:sz w:val="24"/>
                <w:szCs w:val="24"/>
              </w:rPr>
            </w:pPr>
            <w:r w:rsidRPr="00E14035">
              <w:rPr>
                <w:sz w:val="24"/>
                <w:szCs w:val="24"/>
              </w:rPr>
              <w:t>Total Replacement Cost</w:t>
            </w:r>
          </w:p>
        </w:tc>
        <w:tc>
          <w:tcPr>
            <w:tcW w:w="1665" w:type="dxa"/>
          </w:tcPr>
          <w:p w:rsidR="00BA7EF1" w:rsidRPr="00E14035" w:rsidRDefault="00E14035" w:rsidP="00B84615">
            <w:pPr>
              <w:jc w:val="both"/>
              <w:rPr>
                <w:sz w:val="24"/>
                <w:szCs w:val="24"/>
              </w:rPr>
            </w:pPr>
            <w:r>
              <w:rPr>
                <w:sz w:val="24"/>
                <w:szCs w:val="24"/>
              </w:rPr>
              <w:t xml:space="preserve">  </w:t>
            </w:r>
            <w:r w:rsidR="00BA7EF1" w:rsidRPr="00E14035">
              <w:rPr>
                <w:sz w:val="24"/>
                <w:szCs w:val="24"/>
              </w:rPr>
              <w:t xml:space="preserve">$1,300,360 </w:t>
            </w:r>
          </w:p>
        </w:tc>
      </w:tr>
      <w:tr w:rsidR="00BA7EF1" w:rsidRPr="00E14035" w:rsidTr="00B84615">
        <w:tc>
          <w:tcPr>
            <w:tcW w:w="5103" w:type="dxa"/>
          </w:tcPr>
          <w:p w:rsidR="00BA7EF1" w:rsidRPr="00E14035" w:rsidRDefault="00BA7EF1" w:rsidP="00BE0DEB">
            <w:pPr>
              <w:jc w:val="both"/>
              <w:rPr>
                <w:sz w:val="24"/>
                <w:szCs w:val="24"/>
              </w:rPr>
            </w:pPr>
            <w:r w:rsidRPr="00E14035">
              <w:rPr>
                <w:sz w:val="24"/>
                <w:szCs w:val="24"/>
              </w:rPr>
              <w:t>Improvement Value</w:t>
            </w:r>
          </w:p>
        </w:tc>
        <w:tc>
          <w:tcPr>
            <w:tcW w:w="1665" w:type="dxa"/>
          </w:tcPr>
          <w:p w:rsidR="00BA7EF1" w:rsidRPr="00E14035" w:rsidRDefault="00E14035" w:rsidP="00B84615">
            <w:pPr>
              <w:jc w:val="both"/>
              <w:rPr>
                <w:sz w:val="24"/>
                <w:szCs w:val="24"/>
                <w:u w:val="single"/>
              </w:rPr>
            </w:pPr>
            <w:r>
              <w:rPr>
                <w:sz w:val="24"/>
                <w:szCs w:val="24"/>
                <w:u w:val="single"/>
              </w:rPr>
              <w:t xml:space="preserve">  </w:t>
            </w:r>
            <w:r w:rsidR="00BA7EF1" w:rsidRPr="00E14035">
              <w:rPr>
                <w:sz w:val="24"/>
                <w:szCs w:val="24"/>
                <w:u w:val="single"/>
              </w:rPr>
              <w:t>$   149,000</w:t>
            </w:r>
          </w:p>
        </w:tc>
      </w:tr>
      <w:tr w:rsidR="00BA7EF1" w:rsidRPr="00E14035" w:rsidTr="00B84615">
        <w:tc>
          <w:tcPr>
            <w:tcW w:w="5103" w:type="dxa"/>
          </w:tcPr>
          <w:p w:rsidR="00BA7EF1" w:rsidRPr="00E14035" w:rsidRDefault="00C337E3" w:rsidP="00BE0DEB">
            <w:pPr>
              <w:jc w:val="both"/>
              <w:rPr>
                <w:sz w:val="24"/>
                <w:szCs w:val="24"/>
              </w:rPr>
            </w:pPr>
            <w:r w:rsidRPr="00E14035">
              <w:rPr>
                <w:sz w:val="24"/>
                <w:szCs w:val="24"/>
              </w:rPr>
              <w:t>Depreciation</w:t>
            </w:r>
          </w:p>
        </w:tc>
        <w:tc>
          <w:tcPr>
            <w:tcW w:w="1665" w:type="dxa"/>
          </w:tcPr>
          <w:p w:rsidR="00BA7EF1" w:rsidRPr="00E14035" w:rsidRDefault="00E14035" w:rsidP="00B84615">
            <w:pPr>
              <w:jc w:val="both"/>
              <w:rPr>
                <w:sz w:val="24"/>
                <w:szCs w:val="24"/>
              </w:rPr>
            </w:pPr>
            <w:r>
              <w:rPr>
                <w:sz w:val="24"/>
                <w:szCs w:val="24"/>
              </w:rPr>
              <w:t xml:space="preserve">  </w:t>
            </w:r>
            <w:r w:rsidR="00BA7EF1" w:rsidRPr="00E14035">
              <w:rPr>
                <w:sz w:val="24"/>
                <w:szCs w:val="24"/>
              </w:rPr>
              <w:t>$1,151,360</w:t>
            </w:r>
          </w:p>
        </w:tc>
      </w:tr>
    </w:tbl>
    <w:p w:rsidR="00BA7EF1" w:rsidRPr="00E14035" w:rsidRDefault="00BA7EF1" w:rsidP="00BE0DEB">
      <w:pPr>
        <w:jc w:val="both"/>
        <w:rPr>
          <w:sz w:val="24"/>
          <w:szCs w:val="24"/>
        </w:rPr>
      </w:pPr>
    </w:p>
    <w:p w:rsidR="008A2161" w:rsidRPr="00E14035" w:rsidRDefault="00C337E3" w:rsidP="00BE0DEB">
      <w:pPr>
        <w:jc w:val="both"/>
        <w:rPr>
          <w:sz w:val="24"/>
          <w:szCs w:val="24"/>
        </w:rPr>
      </w:pPr>
      <w:r w:rsidRPr="00E14035">
        <w:rPr>
          <w:sz w:val="24"/>
          <w:szCs w:val="24"/>
        </w:rPr>
        <w:t>Amount of Depreciation;</w:t>
      </w:r>
    </w:p>
    <w:p w:rsidR="00C337E3" w:rsidRPr="00E14035" w:rsidRDefault="00C337E3" w:rsidP="00BE0DEB">
      <w:pPr>
        <w:jc w:val="both"/>
        <w:rPr>
          <w:sz w:val="24"/>
          <w:szCs w:val="24"/>
        </w:rPr>
      </w:pPr>
    </w:p>
    <w:p w:rsidR="00C337E3" w:rsidRPr="00E14035" w:rsidRDefault="00C337E3" w:rsidP="00BE0DEB">
      <w:pPr>
        <w:jc w:val="both"/>
        <w:rPr>
          <w:sz w:val="24"/>
          <w:szCs w:val="24"/>
        </w:rPr>
      </w:pPr>
      <w:r w:rsidRPr="00E14035">
        <w:rPr>
          <w:sz w:val="24"/>
          <w:szCs w:val="24"/>
          <w:u w:val="single"/>
        </w:rPr>
        <w:t>$1,151,360</w:t>
      </w:r>
      <w:r w:rsidR="00B84615" w:rsidRPr="00E14035">
        <w:rPr>
          <w:sz w:val="24"/>
          <w:szCs w:val="24"/>
        </w:rPr>
        <w:t xml:space="preserve">    </w:t>
      </w:r>
      <w:r w:rsidRPr="00E14035">
        <w:rPr>
          <w:sz w:val="24"/>
          <w:szCs w:val="24"/>
        </w:rPr>
        <w:t xml:space="preserve">= </w:t>
      </w:r>
      <w:r w:rsidR="00E14035">
        <w:rPr>
          <w:sz w:val="24"/>
          <w:szCs w:val="24"/>
        </w:rPr>
        <w:t xml:space="preserve"> </w:t>
      </w:r>
      <w:r w:rsidRPr="00E14035">
        <w:rPr>
          <w:sz w:val="24"/>
          <w:szCs w:val="24"/>
        </w:rPr>
        <w:t>89% depreciation when sold as a package</w:t>
      </w:r>
    </w:p>
    <w:p w:rsidR="00C337E3" w:rsidRPr="00E14035" w:rsidRDefault="00C337E3" w:rsidP="00BE0DEB">
      <w:pPr>
        <w:jc w:val="both"/>
        <w:rPr>
          <w:sz w:val="24"/>
          <w:szCs w:val="24"/>
        </w:rPr>
      </w:pPr>
      <w:r w:rsidRPr="00E14035">
        <w:rPr>
          <w:sz w:val="24"/>
          <w:szCs w:val="24"/>
        </w:rPr>
        <w:t xml:space="preserve">$1,300,360 </w:t>
      </w:r>
    </w:p>
    <w:p w:rsidR="00C337E3" w:rsidRPr="00E14035" w:rsidRDefault="00C337E3" w:rsidP="00BE0DEB">
      <w:pPr>
        <w:jc w:val="both"/>
        <w:rPr>
          <w:sz w:val="24"/>
          <w:szCs w:val="24"/>
        </w:rPr>
      </w:pPr>
    </w:p>
    <w:p w:rsidR="00C337E3" w:rsidRPr="00E14035" w:rsidRDefault="00C337E3" w:rsidP="00BE0DEB">
      <w:pPr>
        <w:jc w:val="both"/>
        <w:rPr>
          <w:sz w:val="24"/>
          <w:szCs w:val="24"/>
        </w:rPr>
      </w:pPr>
      <w:r w:rsidRPr="00E14035">
        <w:rPr>
          <w:sz w:val="24"/>
          <w:szCs w:val="24"/>
        </w:rPr>
        <w:t>Valuation of typical single family dwelling of similar age and condition</w:t>
      </w:r>
      <w:r w:rsidR="00E14035">
        <w:rPr>
          <w:sz w:val="24"/>
          <w:szCs w:val="24"/>
        </w:rPr>
        <w:t>:</w:t>
      </w:r>
      <w:r w:rsidR="00E14035">
        <w:rPr>
          <w:sz w:val="24"/>
          <w:szCs w:val="24"/>
        </w:rPr>
        <w:br/>
      </w:r>
    </w:p>
    <w:p w:rsidR="00C337E3" w:rsidRPr="00E14035" w:rsidRDefault="00C337E3" w:rsidP="00BE0DEB">
      <w:pPr>
        <w:jc w:val="both"/>
        <w:rPr>
          <w:sz w:val="24"/>
          <w:szCs w:val="24"/>
        </w:rPr>
      </w:pPr>
      <w:r w:rsidRPr="00E14035">
        <w:rPr>
          <w:sz w:val="24"/>
          <w:szCs w:val="24"/>
        </w:rPr>
        <w:t>Comp at 1007 North St</w:t>
      </w:r>
    </w:p>
    <w:p w:rsidR="00C337E3" w:rsidRPr="00E14035" w:rsidRDefault="00C337E3" w:rsidP="00BE0DEB">
      <w:pPr>
        <w:jc w:val="both"/>
        <w:rPr>
          <w:sz w:val="24"/>
          <w:szCs w:val="24"/>
        </w:rPr>
      </w:pPr>
      <w:r w:rsidRPr="00E14035">
        <w:rPr>
          <w:sz w:val="24"/>
          <w:szCs w:val="24"/>
        </w:rPr>
        <w:t xml:space="preserve">Sales price </w:t>
      </w:r>
      <w:r w:rsidR="00E14035">
        <w:rPr>
          <w:sz w:val="24"/>
          <w:szCs w:val="24"/>
        </w:rPr>
        <w:t>=</w:t>
      </w:r>
      <w:r w:rsidRPr="00E14035">
        <w:rPr>
          <w:sz w:val="24"/>
          <w:szCs w:val="24"/>
        </w:rPr>
        <w:t xml:space="preserve"> $59,000.00</w:t>
      </w:r>
      <w:r w:rsidR="00B32DC0" w:rsidRPr="00E14035">
        <w:rPr>
          <w:sz w:val="24"/>
          <w:szCs w:val="24"/>
        </w:rPr>
        <w:t xml:space="preserve"> @1236 SF</w:t>
      </w:r>
    </w:p>
    <w:p w:rsidR="00B32DC0" w:rsidRPr="00E14035" w:rsidRDefault="00B32DC0" w:rsidP="00BE0DEB">
      <w:pPr>
        <w:jc w:val="both"/>
        <w:rPr>
          <w:sz w:val="24"/>
          <w:szCs w:val="24"/>
        </w:rPr>
      </w:pPr>
      <w:r w:rsidRPr="00E14035">
        <w:rPr>
          <w:sz w:val="24"/>
          <w:szCs w:val="24"/>
        </w:rPr>
        <w:t>Replacement cost new 1236 @ $76 = $93,936.00</w:t>
      </w:r>
    </w:p>
    <w:p w:rsidR="00B32DC0" w:rsidRPr="00E14035" w:rsidRDefault="00B32DC0" w:rsidP="00BE0DEB">
      <w:pPr>
        <w:jc w:val="both"/>
        <w:rPr>
          <w:sz w:val="24"/>
          <w:szCs w:val="24"/>
        </w:rPr>
      </w:pPr>
    </w:p>
    <w:p w:rsidR="00B32DC0" w:rsidRPr="00E14035" w:rsidRDefault="00B32DC0" w:rsidP="00BE0DEB">
      <w:pPr>
        <w:jc w:val="both"/>
        <w:rPr>
          <w:sz w:val="24"/>
          <w:szCs w:val="24"/>
        </w:rPr>
      </w:pPr>
      <w:r w:rsidRPr="00E14035">
        <w:rPr>
          <w:sz w:val="24"/>
          <w:szCs w:val="24"/>
        </w:rPr>
        <w:t>SP 59,000</w:t>
      </w:r>
    </w:p>
    <w:p w:rsidR="00B32DC0" w:rsidRPr="00E14035" w:rsidRDefault="00B32DC0" w:rsidP="00BE0DEB">
      <w:pPr>
        <w:jc w:val="both"/>
        <w:rPr>
          <w:sz w:val="24"/>
          <w:szCs w:val="24"/>
        </w:rPr>
      </w:pPr>
      <w:r w:rsidRPr="00E14035">
        <w:rPr>
          <w:sz w:val="24"/>
          <w:szCs w:val="24"/>
        </w:rPr>
        <w:t>Less LV  10,000</w:t>
      </w:r>
    </w:p>
    <w:p w:rsidR="00B32DC0" w:rsidRPr="00906793" w:rsidRDefault="00B32DC0" w:rsidP="00BE0DEB">
      <w:pPr>
        <w:jc w:val="both"/>
        <w:rPr>
          <w:sz w:val="24"/>
          <w:szCs w:val="24"/>
          <w:u w:val="single"/>
        </w:rPr>
      </w:pPr>
      <w:r w:rsidRPr="00E14035">
        <w:rPr>
          <w:sz w:val="24"/>
          <w:szCs w:val="24"/>
        </w:rPr>
        <w:t xml:space="preserve">Improvement Value </w:t>
      </w:r>
      <w:r w:rsidR="00906793">
        <w:rPr>
          <w:sz w:val="24"/>
          <w:szCs w:val="24"/>
        </w:rPr>
        <w:tab/>
      </w:r>
      <w:r w:rsidR="00906793">
        <w:rPr>
          <w:sz w:val="24"/>
          <w:szCs w:val="24"/>
        </w:rPr>
        <w:tab/>
      </w:r>
      <w:r w:rsidR="00906793">
        <w:rPr>
          <w:sz w:val="24"/>
          <w:szCs w:val="24"/>
        </w:rPr>
        <w:tab/>
      </w:r>
      <w:r w:rsidR="00906793">
        <w:rPr>
          <w:sz w:val="24"/>
          <w:szCs w:val="24"/>
        </w:rPr>
        <w:tab/>
      </w:r>
      <w:r w:rsidRPr="00E14035">
        <w:rPr>
          <w:sz w:val="24"/>
          <w:szCs w:val="24"/>
        </w:rPr>
        <w:t xml:space="preserve"> </w:t>
      </w:r>
      <w:r w:rsidRPr="00906793">
        <w:rPr>
          <w:sz w:val="24"/>
          <w:szCs w:val="24"/>
          <w:u w:val="single"/>
        </w:rPr>
        <w:t>49,000</w:t>
      </w:r>
    </w:p>
    <w:p w:rsidR="00C337E3" w:rsidRPr="00E14035" w:rsidRDefault="00B32DC0" w:rsidP="00BE0DEB">
      <w:pPr>
        <w:jc w:val="both"/>
        <w:rPr>
          <w:sz w:val="24"/>
          <w:szCs w:val="24"/>
        </w:rPr>
      </w:pPr>
      <w:r w:rsidRPr="00E14035">
        <w:rPr>
          <w:sz w:val="24"/>
          <w:szCs w:val="24"/>
        </w:rPr>
        <w:t xml:space="preserve">Depreciation             </w:t>
      </w:r>
      <w:r w:rsidR="00906793">
        <w:rPr>
          <w:sz w:val="24"/>
          <w:szCs w:val="24"/>
        </w:rPr>
        <w:tab/>
      </w:r>
      <w:r w:rsidR="00906793">
        <w:rPr>
          <w:sz w:val="24"/>
          <w:szCs w:val="24"/>
        </w:rPr>
        <w:tab/>
      </w:r>
      <w:r w:rsidR="00906793">
        <w:rPr>
          <w:sz w:val="24"/>
          <w:szCs w:val="24"/>
        </w:rPr>
        <w:tab/>
      </w:r>
      <w:r w:rsidRPr="00E14035">
        <w:rPr>
          <w:sz w:val="24"/>
          <w:szCs w:val="24"/>
        </w:rPr>
        <w:t>44,936</w:t>
      </w:r>
    </w:p>
    <w:p w:rsidR="00B32DC0" w:rsidRPr="00E14035" w:rsidRDefault="00B32DC0" w:rsidP="00BE0DEB">
      <w:pPr>
        <w:jc w:val="both"/>
        <w:rPr>
          <w:sz w:val="24"/>
          <w:szCs w:val="24"/>
        </w:rPr>
      </w:pPr>
    </w:p>
    <w:p w:rsidR="00B32DC0" w:rsidRPr="00E14035" w:rsidRDefault="00B32DC0" w:rsidP="00BE0DEB">
      <w:pPr>
        <w:jc w:val="both"/>
        <w:rPr>
          <w:sz w:val="24"/>
          <w:szCs w:val="24"/>
        </w:rPr>
      </w:pPr>
      <w:r w:rsidRPr="00E14035">
        <w:rPr>
          <w:sz w:val="24"/>
          <w:szCs w:val="24"/>
        </w:rPr>
        <w:t xml:space="preserve">Total Depreciation      </w:t>
      </w:r>
      <w:r w:rsidRPr="00E14035">
        <w:rPr>
          <w:sz w:val="24"/>
          <w:szCs w:val="24"/>
          <w:u w:val="single"/>
        </w:rPr>
        <w:t>44,936</w:t>
      </w:r>
      <w:r w:rsidRPr="00E14035">
        <w:rPr>
          <w:sz w:val="24"/>
          <w:szCs w:val="24"/>
        </w:rPr>
        <w:t xml:space="preserve">  = 48%</w:t>
      </w:r>
    </w:p>
    <w:p w:rsidR="00B32DC0" w:rsidRDefault="00E14035" w:rsidP="00BE0DEB">
      <w:pPr>
        <w:jc w:val="both"/>
        <w:rPr>
          <w:sz w:val="24"/>
          <w:szCs w:val="24"/>
        </w:rPr>
      </w:pPr>
      <w:r>
        <w:rPr>
          <w:sz w:val="24"/>
          <w:szCs w:val="24"/>
        </w:rPr>
        <w:t xml:space="preserve">                                   </w:t>
      </w:r>
      <w:r w:rsidRPr="00E14035">
        <w:rPr>
          <w:sz w:val="24"/>
          <w:szCs w:val="24"/>
        </w:rPr>
        <w:t>93,936</w:t>
      </w:r>
    </w:p>
    <w:p w:rsidR="00E14035" w:rsidRDefault="00E14035" w:rsidP="00BE0DEB">
      <w:pPr>
        <w:jc w:val="both"/>
        <w:rPr>
          <w:sz w:val="24"/>
          <w:szCs w:val="24"/>
        </w:rPr>
      </w:pPr>
    </w:p>
    <w:p w:rsidR="00E14035" w:rsidRPr="00E14035" w:rsidRDefault="00E14035" w:rsidP="00BE0DEB">
      <w:pPr>
        <w:jc w:val="both"/>
        <w:rPr>
          <w:sz w:val="24"/>
          <w:szCs w:val="24"/>
        </w:rPr>
      </w:pPr>
    </w:p>
    <w:p w:rsidR="00B32DC0" w:rsidRPr="00E14035" w:rsidRDefault="00B32DC0" w:rsidP="00BE0DEB">
      <w:pPr>
        <w:jc w:val="both"/>
        <w:rPr>
          <w:sz w:val="24"/>
          <w:szCs w:val="24"/>
        </w:rPr>
      </w:pPr>
      <w:r w:rsidRPr="00E14035">
        <w:rPr>
          <w:sz w:val="24"/>
          <w:szCs w:val="24"/>
        </w:rPr>
        <w:t>Comp at 824 E. 6</w:t>
      </w:r>
      <w:r w:rsidRPr="00E14035">
        <w:rPr>
          <w:sz w:val="24"/>
          <w:szCs w:val="24"/>
          <w:vertAlign w:val="superscript"/>
        </w:rPr>
        <w:t>th</w:t>
      </w:r>
      <w:r w:rsidRPr="00E14035">
        <w:rPr>
          <w:sz w:val="24"/>
          <w:szCs w:val="24"/>
        </w:rPr>
        <w:t xml:space="preserve"> Street, Lumberton NC</w:t>
      </w:r>
    </w:p>
    <w:p w:rsidR="00B32DC0" w:rsidRPr="00E14035" w:rsidRDefault="00B32DC0" w:rsidP="00BE0DEB">
      <w:pPr>
        <w:jc w:val="both"/>
        <w:rPr>
          <w:sz w:val="24"/>
          <w:szCs w:val="24"/>
        </w:rPr>
      </w:pPr>
    </w:p>
    <w:p w:rsidR="00B32DC0" w:rsidRPr="00E14035" w:rsidRDefault="00B32DC0" w:rsidP="00BE0DEB">
      <w:pPr>
        <w:jc w:val="both"/>
        <w:rPr>
          <w:sz w:val="24"/>
          <w:szCs w:val="24"/>
        </w:rPr>
      </w:pPr>
      <w:r w:rsidRPr="00E14035">
        <w:rPr>
          <w:sz w:val="24"/>
          <w:szCs w:val="24"/>
        </w:rPr>
        <w:t>1243 SF @ $76 per SF equal a replacement cost of $94,468</w:t>
      </w:r>
    </w:p>
    <w:p w:rsidR="00B32DC0" w:rsidRPr="00E14035" w:rsidRDefault="00B32DC0" w:rsidP="00BE0DEB">
      <w:pPr>
        <w:jc w:val="both"/>
        <w:rPr>
          <w:sz w:val="24"/>
          <w:szCs w:val="24"/>
        </w:rPr>
      </w:pPr>
    </w:p>
    <w:p w:rsidR="00B32DC0" w:rsidRPr="00E14035" w:rsidRDefault="00B32DC0" w:rsidP="00B32DC0">
      <w:pPr>
        <w:jc w:val="both"/>
        <w:rPr>
          <w:sz w:val="24"/>
          <w:szCs w:val="24"/>
        </w:rPr>
      </w:pPr>
      <w:r w:rsidRPr="00E14035">
        <w:rPr>
          <w:sz w:val="24"/>
          <w:szCs w:val="24"/>
        </w:rPr>
        <w:t>SP 51,500</w:t>
      </w:r>
    </w:p>
    <w:p w:rsidR="00B32DC0" w:rsidRPr="00E14035" w:rsidRDefault="00B32DC0" w:rsidP="00B32DC0">
      <w:pPr>
        <w:jc w:val="both"/>
        <w:rPr>
          <w:sz w:val="24"/>
          <w:szCs w:val="24"/>
        </w:rPr>
      </w:pPr>
      <w:r w:rsidRPr="00E14035">
        <w:rPr>
          <w:sz w:val="24"/>
          <w:szCs w:val="24"/>
        </w:rPr>
        <w:t>Less LV  10,000</w:t>
      </w:r>
    </w:p>
    <w:p w:rsidR="00B32DC0" w:rsidRPr="00E14035" w:rsidRDefault="00B32DC0" w:rsidP="00B32DC0">
      <w:pPr>
        <w:jc w:val="both"/>
        <w:rPr>
          <w:sz w:val="24"/>
          <w:szCs w:val="24"/>
        </w:rPr>
      </w:pPr>
      <w:r w:rsidRPr="00E14035">
        <w:rPr>
          <w:sz w:val="24"/>
          <w:szCs w:val="24"/>
        </w:rPr>
        <w:t xml:space="preserve">Improvement Value </w:t>
      </w:r>
      <w:r w:rsidR="00906793">
        <w:rPr>
          <w:sz w:val="24"/>
          <w:szCs w:val="24"/>
        </w:rPr>
        <w:tab/>
      </w:r>
      <w:r w:rsidR="00906793">
        <w:rPr>
          <w:sz w:val="24"/>
          <w:szCs w:val="24"/>
        </w:rPr>
        <w:tab/>
      </w:r>
      <w:r w:rsidR="00906793">
        <w:rPr>
          <w:sz w:val="24"/>
          <w:szCs w:val="24"/>
        </w:rPr>
        <w:tab/>
      </w:r>
      <w:r w:rsidR="00906793">
        <w:rPr>
          <w:sz w:val="24"/>
          <w:szCs w:val="24"/>
        </w:rPr>
        <w:tab/>
      </w:r>
      <w:r w:rsidR="00906793">
        <w:rPr>
          <w:sz w:val="24"/>
          <w:szCs w:val="24"/>
        </w:rPr>
        <w:tab/>
      </w:r>
      <w:r w:rsidR="00906793">
        <w:rPr>
          <w:sz w:val="24"/>
          <w:szCs w:val="24"/>
        </w:rPr>
        <w:tab/>
      </w:r>
      <w:r w:rsidRPr="00E14035">
        <w:rPr>
          <w:sz w:val="24"/>
          <w:szCs w:val="24"/>
        </w:rPr>
        <w:t xml:space="preserve"> </w:t>
      </w:r>
      <w:r w:rsidRPr="00906793">
        <w:rPr>
          <w:sz w:val="24"/>
          <w:szCs w:val="24"/>
          <w:u w:val="single"/>
        </w:rPr>
        <w:t>41,500</w:t>
      </w:r>
    </w:p>
    <w:p w:rsidR="00B32DC0" w:rsidRPr="00E14035" w:rsidRDefault="00B32DC0" w:rsidP="00B32DC0">
      <w:pPr>
        <w:jc w:val="both"/>
        <w:rPr>
          <w:sz w:val="24"/>
          <w:szCs w:val="24"/>
        </w:rPr>
      </w:pPr>
      <w:r w:rsidRPr="00E14035">
        <w:rPr>
          <w:sz w:val="24"/>
          <w:szCs w:val="24"/>
        </w:rPr>
        <w:t xml:space="preserve">Depreciation             </w:t>
      </w:r>
      <w:r w:rsidR="00906793">
        <w:rPr>
          <w:sz w:val="24"/>
          <w:szCs w:val="24"/>
        </w:rPr>
        <w:tab/>
      </w:r>
      <w:r w:rsidR="00906793">
        <w:rPr>
          <w:sz w:val="24"/>
          <w:szCs w:val="24"/>
        </w:rPr>
        <w:tab/>
      </w:r>
      <w:r w:rsidR="00906793">
        <w:rPr>
          <w:sz w:val="24"/>
          <w:szCs w:val="24"/>
        </w:rPr>
        <w:tab/>
      </w:r>
      <w:r w:rsidR="00906793">
        <w:rPr>
          <w:sz w:val="24"/>
          <w:szCs w:val="24"/>
        </w:rPr>
        <w:tab/>
      </w:r>
      <w:r w:rsidR="00906793">
        <w:rPr>
          <w:sz w:val="24"/>
          <w:szCs w:val="24"/>
        </w:rPr>
        <w:tab/>
      </w:r>
      <w:r w:rsidRPr="00E14035">
        <w:rPr>
          <w:sz w:val="24"/>
          <w:szCs w:val="24"/>
        </w:rPr>
        <w:t>52,968</w:t>
      </w:r>
    </w:p>
    <w:p w:rsidR="00C337E3" w:rsidRPr="00E14035" w:rsidRDefault="00C337E3" w:rsidP="00BE0DEB">
      <w:pPr>
        <w:jc w:val="both"/>
        <w:rPr>
          <w:sz w:val="24"/>
          <w:szCs w:val="24"/>
        </w:rPr>
      </w:pPr>
    </w:p>
    <w:p w:rsidR="00B32DC0" w:rsidRPr="00E14035" w:rsidRDefault="00B32DC0" w:rsidP="00B32DC0">
      <w:pPr>
        <w:jc w:val="both"/>
        <w:rPr>
          <w:sz w:val="24"/>
          <w:szCs w:val="24"/>
        </w:rPr>
      </w:pPr>
      <w:r w:rsidRPr="00E14035">
        <w:rPr>
          <w:sz w:val="24"/>
          <w:szCs w:val="24"/>
        </w:rPr>
        <w:t xml:space="preserve">Total Depreciation    </w:t>
      </w:r>
      <w:r w:rsidRPr="00E14035">
        <w:rPr>
          <w:sz w:val="24"/>
          <w:szCs w:val="24"/>
          <w:u w:val="single"/>
        </w:rPr>
        <w:t>52,968</w:t>
      </w:r>
      <w:r w:rsidRPr="00E14035">
        <w:rPr>
          <w:sz w:val="24"/>
          <w:szCs w:val="24"/>
        </w:rPr>
        <w:t xml:space="preserve">  = 56%</w:t>
      </w:r>
    </w:p>
    <w:p w:rsidR="00B32DC0" w:rsidRPr="00E14035" w:rsidRDefault="00E14035" w:rsidP="00B32DC0">
      <w:pPr>
        <w:jc w:val="both"/>
        <w:rPr>
          <w:sz w:val="24"/>
          <w:szCs w:val="24"/>
        </w:rPr>
      </w:pPr>
      <w:r>
        <w:rPr>
          <w:sz w:val="24"/>
          <w:szCs w:val="24"/>
        </w:rPr>
        <w:t xml:space="preserve">                                 </w:t>
      </w:r>
      <w:r w:rsidRPr="00E14035">
        <w:rPr>
          <w:sz w:val="24"/>
          <w:szCs w:val="24"/>
        </w:rPr>
        <w:t>94,468</w:t>
      </w:r>
    </w:p>
    <w:p w:rsidR="00E14035" w:rsidRDefault="00E14035" w:rsidP="00B32DC0">
      <w:pPr>
        <w:jc w:val="both"/>
        <w:rPr>
          <w:sz w:val="24"/>
          <w:szCs w:val="24"/>
        </w:rPr>
      </w:pPr>
    </w:p>
    <w:p w:rsidR="005A4328" w:rsidRPr="00E14035" w:rsidRDefault="00B32DC0" w:rsidP="00B32DC0">
      <w:pPr>
        <w:jc w:val="both"/>
        <w:rPr>
          <w:sz w:val="24"/>
          <w:szCs w:val="24"/>
        </w:rPr>
      </w:pPr>
      <w:r w:rsidRPr="00E14035">
        <w:rPr>
          <w:sz w:val="24"/>
          <w:szCs w:val="24"/>
        </w:rPr>
        <w:t>Based on the above two comps it can be seen that the depreciation ranges from approximately 48 to 56%</w:t>
      </w:r>
      <w:r w:rsidR="005A4328" w:rsidRPr="00E14035">
        <w:rPr>
          <w:sz w:val="24"/>
          <w:szCs w:val="24"/>
        </w:rPr>
        <w:t xml:space="preserve"> or centering on about 52% depreciation.  </w:t>
      </w:r>
      <w:r w:rsidR="00FB468E">
        <w:rPr>
          <w:sz w:val="24"/>
          <w:szCs w:val="24"/>
        </w:rPr>
        <w:t>It</w:t>
      </w:r>
      <w:r w:rsidR="005A4328" w:rsidRPr="00E14035">
        <w:rPr>
          <w:sz w:val="24"/>
          <w:szCs w:val="24"/>
        </w:rPr>
        <w:t xml:space="preserve"> can be seen from the calculations </w:t>
      </w:r>
      <w:r w:rsidR="00FB468E">
        <w:rPr>
          <w:sz w:val="24"/>
          <w:szCs w:val="24"/>
        </w:rPr>
        <w:t xml:space="preserve">that </w:t>
      </w:r>
      <w:r w:rsidR="005A4328" w:rsidRPr="00E14035">
        <w:rPr>
          <w:sz w:val="24"/>
          <w:szCs w:val="24"/>
        </w:rPr>
        <w:t>the depreciation for the portfolio amounts to about 89</w:t>
      </w:r>
      <w:r w:rsidR="00FB468E">
        <w:rPr>
          <w:sz w:val="24"/>
          <w:szCs w:val="24"/>
        </w:rPr>
        <w:t xml:space="preserve">% while the depreciation </w:t>
      </w:r>
      <w:r w:rsidR="005A4328" w:rsidRPr="00E14035">
        <w:rPr>
          <w:sz w:val="24"/>
          <w:szCs w:val="24"/>
        </w:rPr>
        <w:t>for the two comparables centers</w:t>
      </w:r>
      <w:r w:rsidRPr="00E14035">
        <w:rPr>
          <w:sz w:val="24"/>
          <w:szCs w:val="24"/>
        </w:rPr>
        <w:t xml:space="preserve"> </w:t>
      </w:r>
      <w:r w:rsidR="005A4328" w:rsidRPr="00E14035">
        <w:rPr>
          <w:sz w:val="24"/>
          <w:szCs w:val="24"/>
        </w:rPr>
        <w:t>around 52% and the calculations indicate that the depreciation must be increased 71% for the portfolio above that of one single family dwelling.</w:t>
      </w:r>
    </w:p>
    <w:p w:rsidR="005A4328" w:rsidRPr="00E14035" w:rsidRDefault="005A4328" w:rsidP="00B32DC0">
      <w:pPr>
        <w:jc w:val="both"/>
        <w:rPr>
          <w:sz w:val="24"/>
          <w:szCs w:val="24"/>
        </w:rPr>
      </w:pPr>
    </w:p>
    <w:p w:rsidR="00B32DC0" w:rsidRPr="00E14035" w:rsidRDefault="005A4328" w:rsidP="00B32DC0">
      <w:pPr>
        <w:jc w:val="both"/>
        <w:rPr>
          <w:sz w:val="24"/>
          <w:szCs w:val="24"/>
        </w:rPr>
      </w:pPr>
      <w:r w:rsidRPr="00E14035">
        <w:rPr>
          <w:sz w:val="24"/>
          <w:szCs w:val="24"/>
        </w:rPr>
        <w:tab/>
        <w:t xml:space="preserve">In summary, we find that the summation of the appraised value of all </w:t>
      </w:r>
      <w:r w:rsidR="00E14035">
        <w:rPr>
          <w:sz w:val="24"/>
          <w:szCs w:val="24"/>
        </w:rPr>
        <w:t>12</w:t>
      </w:r>
      <w:r w:rsidRPr="00E14035">
        <w:rPr>
          <w:sz w:val="24"/>
          <w:szCs w:val="24"/>
        </w:rPr>
        <w:t xml:space="preserve"> dwellings amounts to approximately $493,670.</w:t>
      </w:r>
      <w:r w:rsidR="00E14035">
        <w:rPr>
          <w:sz w:val="24"/>
          <w:szCs w:val="24"/>
        </w:rPr>
        <w:t>00</w:t>
      </w:r>
      <w:r w:rsidR="00FE044A">
        <w:rPr>
          <w:sz w:val="24"/>
          <w:szCs w:val="24"/>
        </w:rPr>
        <w:t xml:space="preserve"> based on 14 comps</w:t>
      </w:r>
      <w:r w:rsidR="00E14035">
        <w:rPr>
          <w:sz w:val="24"/>
          <w:szCs w:val="24"/>
        </w:rPr>
        <w:t>.</w:t>
      </w:r>
      <w:r w:rsidRPr="00E14035">
        <w:rPr>
          <w:sz w:val="24"/>
          <w:szCs w:val="24"/>
        </w:rPr>
        <w:t xml:space="preserve"> We also find that the summation of the </w:t>
      </w:r>
      <w:r w:rsidR="00FE044A">
        <w:rPr>
          <w:sz w:val="24"/>
          <w:szCs w:val="24"/>
        </w:rPr>
        <w:t xml:space="preserve">2010 </w:t>
      </w:r>
      <w:r w:rsidRPr="00E14035">
        <w:rPr>
          <w:sz w:val="24"/>
          <w:szCs w:val="24"/>
        </w:rPr>
        <w:t>tax value of all twelve dwellings amounts to $406,200</w:t>
      </w:r>
      <w:r w:rsidR="00E14035">
        <w:rPr>
          <w:sz w:val="24"/>
          <w:szCs w:val="24"/>
        </w:rPr>
        <w:t>.00</w:t>
      </w:r>
      <w:r w:rsidRPr="00E14035">
        <w:rPr>
          <w:sz w:val="24"/>
          <w:szCs w:val="24"/>
        </w:rPr>
        <w:t xml:space="preserve"> and the portfolio of </w:t>
      </w:r>
      <w:r w:rsidR="00E14035">
        <w:rPr>
          <w:sz w:val="24"/>
          <w:szCs w:val="24"/>
        </w:rPr>
        <w:t>12</w:t>
      </w:r>
      <w:r w:rsidRPr="00E14035">
        <w:rPr>
          <w:sz w:val="24"/>
          <w:szCs w:val="24"/>
        </w:rPr>
        <w:t xml:space="preserve"> scattered single family dwellings sold for $269,000</w:t>
      </w:r>
      <w:r w:rsidR="00E14035">
        <w:rPr>
          <w:sz w:val="24"/>
          <w:szCs w:val="24"/>
        </w:rPr>
        <w:t>.00</w:t>
      </w:r>
      <w:r w:rsidR="00B84615" w:rsidRPr="00E14035">
        <w:rPr>
          <w:sz w:val="24"/>
          <w:szCs w:val="24"/>
        </w:rPr>
        <w:t xml:space="preserve"> </w:t>
      </w:r>
      <w:r w:rsidRPr="00E14035">
        <w:rPr>
          <w:sz w:val="24"/>
          <w:szCs w:val="24"/>
        </w:rPr>
        <w:t xml:space="preserve">as a package or portfolio of </w:t>
      </w:r>
      <w:r w:rsidR="00E14035">
        <w:rPr>
          <w:sz w:val="24"/>
          <w:szCs w:val="24"/>
        </w:rPr>
        <w:t>12</w:t>
      </w:r>
      <w:r w:rsidRPr="00E14035">
        <w:rPr>
          <w:sz w:val="24"/>
          <w:szCs w:val="24"/>
        </w:rPr>
        <w:t xml:space="preserve"> units then the following ratios can be developed</w:t>
      </w:r>
      <w:r w:rsidR="00B84615" w:rsidRPr="00E14035">
        <w:rPr>
          <w:sz w:val="24"/>
          <w:szCs w:val="24"/>
        </w:rPr>
        <w:t>.</w:t>
      </w:r>
    </w:p>
    <w:p w:rsidR="00B84615" w:rsidRPr="00E14035" w:rsidRDefault="00B84615" w:rsidP="00BE0DEB">
      <w:pPr>
        <w:jc w:val="both"/>
        <w:rPr>
          <w:sz w:val="24"/>
          <w:szCs w:val="24"/>
        </w:rPr>
      </w:pPr>
    </w:p>
    <w:p w:rsidR="00C337E3" w:rsidRPr="00E14035" w:rsidRDefault="00B84615" w:rsidP="00BE0DEB">
      <w:pPr>
        <w:jc w:val="both"/>
        <w:rPr>
          <w:sz w:val="24"/>
          <w:szCs w:val="24"/>
        </w:rPr>
      </w:pPr>
      <w:r w:rsidRPr="00E14035">
        <w:rPr>
          <w:sz w:val="24"/>
          <w:szCs w:val="24"/>
          <w:u w:val="single"/>
        </w:rPr>
        <w:t>$269,000</w:t>
      </w:r>
      <w:r w:rsidRPr="00E14035">
        <w:rPr>
          <w:sz w:val="24"/>
          <w:szCs w:val="24"/>
        </w:rPr>
        <w:t xml:space="preserve">  Sales Price of Portfolio  of 12 Units                              </w:t>
      </w:r>
    </w:p>
    <w:p w:rsidR="00B84615" w:rsidRPr="00E14035" w:rsidRDefault="00B84615" w:rsidP="00BE0DEB">
      <w:pPr>
        <w:jc w:val="both"/>
        <w:rPr>
          <w:sz w:val="24"/>
          <w:szCs w:val="24"/>
        </w:rPr>
      </w:pPr>
      <w:r w:rsidRPr="00E14035">
        <w:rPr>
          <w:sz w:val="24"/>
          <w:szCs w:val="24"/>
        </w:rPr>
        <w:t>$493,670  Summation of Appraised Value of Each of the 12 Dwellings</w:t>
      </w:r>
    </w:p>
    <w:p w:rsidR="00B84615" w:rsidRPr="00E14035" w:rsidRDefault="00B84615" w:rsidP="00BE0DEB">
      <w:pPr>
        <w:jc w:val="both"/>
        <w:rPr>
          <w:sz w:val="24"/>
          <w:szCs w:val="24"/>
        </w:rPr>
      </w:pPr>
    </w:p>
    <w:p w:rsidR="00B84615" w:rsidRPr="00E14035" w:rsidRDefault="00B84615" w:rsidP="00BE0DEB">
      <w:pPr>
        <w:jc w:val="both"/>
        <w:rPr>
          <w:sz w:val="24"/>
          <w:szCs w:val="24"/>
        </w:rPr>
      </w:pPr>
      <w:r w:rsidRPr="00E14035">
        <w:rPr>
          <w:sz w:val="24"/>
          <w:szCs w:val="24"/>
        </w:rPr>
        <w:t>Equals 54%</w:t>
      </w:r>
    </w:p>
    <w:p w:rsidR="00B84615" w:rsidRPr="00E14035" w:rsidRDefault="00B84615" w:rsidP="00BE0DEB">
      <w:pPr>
        <w:jc w:val="both"/>
        <w:rPr>
          <w:sz w:val="24"/>
          <w:szCs w:val="24"/>
        </w:rPr>
      </w:pPr>
    </w:p>
    <w:p w:rsidR="00B84615" w:rsidRPr="00E14035" w:rsidRDefault="00B84615" w:rsidP="00BE0DEB">
      <w:pPr>
        <w:jc w:val="both"/>
        <w:rPr>
          <w:sz w:val="24"/>
          <w:szCs w:val="24"/>
        </w:rPr>
      </w:pPr>
      <w:r w:rsidRPr="00E14035">
        <w:rPr>
          <w:sz w:val="24"/>
          <w:szCs w:val="24"/>
        </w:rPr>
        <w:t>Indicates that the package sold for 54% of the appraised value of the summation of the individual dwellings and that the ratio based on accessed values is follows:</w:t>
      </w:r>
    </w:p>
    <w:p w:rsidR="00B84615" w:rsidRPr="00E14035" w:rsidRDefault="00B84615" w:rsidP="00BE0DEB">
      <w:pPr>
        <w:jc w:val="both"/>
        <w:rPr>
          <w:sz w:val="24"/>
          <w:szCs w:val="24"/>
        </w:rPr>
      </w:pPr>
    </w:p>
    <w:p w:rsidR="00B84615" w:rsidRPr="00E14035" w:rsidRDefault="00B84615" w:rsidP="00BE0DEB">
      <w:pPr>
        <w:jc w:val="both"/>
        <w:rPr>
          <w:sz w:val="24"/>
          <w:szCs w:val="24"/>
        </w:rPr>
      </w:pPr>
      <w:r w:rsidRPr="00E14035">
        <w:rPr>
          <w:sz w:val="24"/>
          <w:szCs w:val="24"/>
          <w:u w:val="single"/>
        </w:rPr>
        <w:t>$269,000</w:t>
      </w:r>
      <w:r w:rsidRPr="00E14035">
        <w:rPr>
          <w:sz w:val="24"/>
          <w:szCs w:val="24"/>
        </w:rPr>
        <w:t xml:space="preserve">  </w:t>
      </w:r>
    </w:p>
    <w:p w:rsidR="00B84615" w:rsidRPr="00E14035" w:rsidRDefault="00B84615" w:rsidP="00BE0DEB">
      <w:pPr>
        <w:jc w:val="both"/>
        <w:rPr>
          <w:sz w:val="24"/>
          <w:szCs w:val="24"/>
        </w:rPr>
      </w:pPr>
      <w:r w:rsidRPr="00E14035">
        <w:rPr>
          <w:sz w:val="24"/>
          <w:szCs w:val="24"/>
        </w:rPr>
        <w:t>$406,200</w:t>
      </w:r>
      <w:r w:rsidR="00F31DCD" w:rsidRPr="00E14035">
        <w:rPr>
          <w:sz w:val="24"/>
          <w:szCs w:val="24"/>
        </w:rPr>
        <w:t xml:space="preserve"> Tax Appraised Value =  66% of tax value</w:t>
      </w:r>
    </w:p>
    <w:p w:rsidR="00F31DCD" w:rsidRPr="00E14035" w:rsidRDefault="00F31DCD" w:rsidP="00BE0DEB">
      <w:pPr>
        <w:jc w:val="both"/>
        <w:rPr>
          <w:sz w:val="24"/>
          <w:szCs w:val="24"/>
        </w:rPr>
      </w:pPr>
    </w:p>
    <w:p w:rsidR="00BE311F" w:rsidRPr="00E14035" w:rsidRDefault="00F31DCD" w:rsidP="00BE0DEB">
      <w:pPr>
        <w:jc w:val="both"/>
        <w:rPr>
          <w:sz w:val="24"/>
          <w:szCs w:val="24"/>
        </w:rPr>
      </w:pPr>
      <w:r w:rsidRPr="00E14035">
        <w:rPr>
          <w:sz w:val="24"/>
          <w:szCs w:val="24"/>
        </w:rPr>
        <w:tab/>
        <w:t>Therefore we conclude that</w:t>
      </w:r>
      <w:r w:rsidR="00BE311F" w:rsidRPr="00E14035">
        <w:rPr>
          <w:sz w:val="24"/>
          <w:szCs w:val="24"/>
        </w:rPr>
        <w:t xml:space="preserve"> the appraised value determined by the firm is the most accurate method </w:t>
      </w:r>
      <w:r w:rsidR="00FE044A">
        <w:rPr>
          <w:sz w:val="24"/>
          <w:szCs w:val="24"/>
        </w:rPr>
        <w:t xml:space="preserve">because the 2010 tax value is about 6 years old </w:t>
      </w:r>
      <w:r w:rsidR="00BE311F" w:rsidRPr="00E14035">
        <w:rPr>
          <w:sz w:val="24"/>
          <w:szCs w:val="24"/>
        </w:rPr>
        <w:t xml:space="preserve">and indicates a package of 12 scattered single family units that sold for $269,000 is equal to the appraised value and indicates the depreciation rate of 89% while the average depreciation for 8 comparables indicated a depreciation rate of 54% with a value </w:t>
      </w:r>
      <w:r w:rsidR="00FB468E">
        <w:rPr>
          <w:sz w:val="24"/>
          <w:szCs w:val="24"/>
        </w:rPr>
        <w:t>centering</w:t>
      </w:r>
      <w:r w:rsidR="00BE311F" w:rsidRPr="00E14035">
        <w:rPr>
          <w:sz w:val="24"/>
          <w:szCs w:val="24"/>
        </w:rPr>
        <w:t xml:space="preserve"> around 52%. Using the 52% this indicates that depreciation must be increased 71% from a base rate of 52%.</w:t>
      </w:r>
    </w:p>
    <w:p w:rsidR="00BE311F" w:rsidRPr="00E14035" w:rsidRDefault="00BE311F" w:rsidP="00BE0DEB">
      <w:pPr>
        <w:jc w:val="both"/>
        <w:rPr>
          <w:sz w:val="24"/>
          <w:szCs w:val="24"/>
        </w:rPr>
      </w:pPr>
    </w:p>
    <w:p w:rsidR="00F31DCD" w:rsidRPr="00E14035" w:rsidRDefault="00BE311F" w:rsidP="00BE0DEB">
      <w:pPr>
        <w:jc w:val="both"/>
        <w:rPr>
          <w:sz w:val="24"/>
          <w:szCs w:val="24"/>
        </w:rPr>
      </w:pPr>
      <w:r w:rsidRPr="00E14035">
        <w:rPr>
          <w:sz w:val="24"/>
          <w:szCs w:val="24"/>
        </w:rPr>
        <w:tab/>
        <w:t xml:space="preserve">Documentation for this particular study is </w:t>
      </w:r>
      <w:r w:rsidR="00FB468E">
        <w:rPr>
          <w:sz w:val="24"/>
          <w:szCs w:val="24"/>
        </w:rPr>
        <w:t xml:space="preserve">included in the files of the appraiser </w:t>
      </w:r>
      <w:r w:rsidRPr="00E14035">
        <w:rPr>
          <w:sz w:val="24"/>
          <w:szCs w:val="24"/>
        </w:rPr>
        <w:t xml:space="preserve">showing the comparables used to appraise each individual home as well as its’ tax value and its’ replacement cost new. </w:t>
      </w:r>
    </w:p>
    <w:p w:rsidR="00F31DCD" w:rsidRPr="00E14035" w:rsidRDefault="00F31DCD" w:rsidP="00BE0DEB">
      <w:pPr>
        <w:jc w:val="both"/>
        <w:rPr>
          <w:sz w:val="24"/>
          <w:szCs w:val="24"/>
        </w:rPr>
      </w:pPr>
    </w:p>
    <w:p w:rsidR="00F31DCD" w:rsidRPr="00E14035" w:rsidRDefault="00F31DCD" w:rsidP="00BE0DEB">
      <w:pPr>
        <w:jc w:val="both"/>
        <w:rPr>
          <w:sz w:val="24"/>
          <w:szCs w:val="24"/>
        </w:rPr>
      </w:pPr>
      <w:r w:rsidRPr="00E14035">
        <w:rPr>
          <w:sz w:val="24"/>
          <w:szCs w:val="24"/>
        </w:rPr>
        <w:tab/>
      </w:r>
    </w:p>
    <w:sectPr w:rsidR="00F31DCD" w:rsidRPr="00E14035" w:rsidSect="00F530D0">
      <w:pgSz w:w="12240" w:h="15840"/>
      <w:pgMar w:top="90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41"/>
    <w:rsid w:val="0008711C"/>
    <w:rsid w:val="00135584"/>
    <w:rsid w:val="0015572A"/>
    <w:rsid w:val="00292E0C"/>
    <w:rsid w:val="003655AF"/>
    <w:rsid w:val="00370D18"/>
    <w:rsid w:val="003A25F1"/>
    <w:rsid w:val="003A3354"/>
    <w:rsid w:val="003B496A"/>
    <w:rsid w:val="003D476A"/>
    <w:rsid w:val="004A4A52"/>
    <w:rsid w:val="004E5FD9"/>
    <w:rsid w:val="0055713E"/>
    <w:rsid w:val="005A4328"/>
    <w:rsid w:val="00671541"/>
    <w:rsid w:val="00671F9A"/>
    <w:rsid w:val="006F1B23"/>
    <w:rsid w:val="006F4DE8"/>
    <w:rsid w:val="0070110D"/>
    <w:rsid w:val="008371DF"/>
    <w:rsid w:val="0084095F"/>
    <w:rsid w:val="00897212"/>
    <w:rsid w:val="008A2161"/>
    <w:rsid w:val="00906793"/>
    <w:rsid w:val="00924562"/>
    <w:rsid w:val="00936384"/>
    <w:rsid w:val="0096550E"/>
    <w:rsid w:val="009B1A54"/>
    <w:rsid w:val="00A37496"/>
    <w:rsid w:val="00AD388A"/>
    <w:rsid w:val="00AE1BB3"/>
    <w:rsid w:val="00B32DC0"/>
    <w:rsid w:val="00B84615"/>
    <w:rsid w:val="00BA7EF1"/>
    <w:rsid w:val="00BB434B"/>
    <w:rsid w:val="00BE0DEB"/>
    <w:rsid w:val="00BE311F"/>
    <w:rsid w:val="00BF028C"/>
    <w:rsid w:val="00C337E3"/>
    <w:rsid w:val="00C928F0"/>
    <w:rsid w:val="00C961FE"/>
    <w:rsid w:val="00CE3261"/>
    <w:rsid w:val="00D96B87"/>
    <w:rsid w:val="00DB1A41"/>
    <w:rsid w:val="00DD4DA0"/>
    <w:rsid w:val="00E02AC3"/>
    <w:rsid w:val="00E14035"/>
    <w:rsid w:val="00EB32A8"/>
    <w:rsid w:val="00F31DCD"/>
    <w:rsid w:val="00F530D0"/>
    <w:rsid w:val="00F60AFA"/>
    <w:rsid w:val="00F879A2"/>
    <w:rsid w:val="00FB468E"/>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44A"/>
    <w:rPr>
      <w:rFonts w:ascii="Tahoma" w:hAnsi="Tahoma" w:cs="Tahoma"/>
      <w:sz w:val="16"/>
      <w:szCs w:val="16"/>
    </w:rPr>
  </w:style>
  <w:style w:type="character" w:customStyle="1" w:styleId="BalloonTextChar">
    <w:name w:val="Balloon Text Char"/>
    <w:basedOn w:val="DefaultParagraphFont"/>
    <w:link w:val="BalloonText"/>
    <w:uiPriority w:val="99"/>
    <w:semiHidden/>
    <w:rsid w:val="00FE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44A"/>
    <w:rPr>
      <w:rFonts w:ascii="Tahoma" w:hAnsi="Tahoma" w:cs="Tahoma"/>
      <w:sz w:val="16"/>
      <w:szCs w:val="16"/>
    </w:rPr>
  </w:style>
  <w:style w:type="character" w:customStyle="1" w:styleId="BalloonTextChar">
    <w:name w:val="Balloon Text Char"/>
    <w:basedOn w:val="DefaultParagraphFont"/>
    <w:link w:val="BalloonText"/>
    <w:uiPriority w:val="99"/>
    <w:semiHidden/>
    <w:rsid w:val="00FE0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D5670785.dotm</Template>
  <TotalTime>15</TotalTime>
  <Pages>4</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Milton</dc:creator>
  <cp:lastModifiedBy>Yolanda Wells</cp:lastModifiedBy>
  <cp:revision>2</cp:revision>
  <cp:lastPrinted>2016-05-27T13:17:00Z</cp:lastPrinted>
  <dcterms:created xsi:type="dcterms:W3CDTF">2017-02-08T18:39:00Z</dcterms:created>
  <dcterms:modified xsi:type="dcterms:W3CDTF">2017-02-08T18:39:00Z</dcterms:modified>
</cp:coreProperties>
</file>